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A9968">
      <w:pPr>
        <w:pStyle w:val="16"/>
        <w:rPr>
          <w:rFonts w:hint="default" w:ascii="宋体" w:hAnsi="宋体" w:eastAsia="宋体" w:cs="宋体"/>
          <w:color w:val="auto"/>
          <w:highlight w:val="none"/>
        </w:rPr>
      </w:pPr>
      <w:r>
        <w:rPr>
          <w:rFonts w:ascii="宋体" w:hAnsi="宋体" w:eastAsia="宋体" w:cs="宋体"/>
          <w:color w:val="auto"/>
          <w:highlight w:val="none"/>
        </w:rPr>
        <w:br w:type="textWrapping"/>
      </w:r>
    </w:p>
    <w:p w14:paraId="00143E64">
      <w:pPr>
        <w:pStyle w:val="16"/>
        <w:rPr>
          <w:rFonts w:hint="default" w:ascii="宋体" w:hAnsi="宋体" w:eastAsia="宋体" w:cs="宋体"/>
          <w:color w:val="auto"/>
          <w:highlight w:val="none"/>
        </w:rPr>
      </w:pPr>
      <w:r>
        <w:rPr>
          <w:rFonts w:ascii="宋体" w:hAnsi="宋体" w:eastAsia="宋体" w:cs="宋体"/>
          <w:color w:val="auto"/>
          <w:highlight w:val="none"/>
        </w:rPr>
        <w:t>　</w:t>
      </w:r>
    </w:p>
    <w:p w14:paraId="1F2C8FE4">
      <w:pPr>
        <w:pStyle w:val="16"/>
        <w:jc w:val="center"/>
        <w:outlineLvl w:val="0"/>
        <w:rPr>
          <w:rFonts w:hint="default" w:ascii="宋体" w:hAnsi="宋体" w:eastAsia="宋体" w:cs="宋体"/>
          <w:color w:val="auto"/>
          <w:sz w:val="72"/>
          <w:szCs w:val="72"/>
          <w:highlight w:val="none"/>
        </w:rPr>
      </w:pPr>
      <w:r>
        <w:rPr>
          <w:rFonts w:ascii="宋体" w:hAnsi="宋体" w:eastAsia="宋体" w:cs="宋体"/>
          <w:b/>
          <w:color w:val="auto"/>
          <w:sz w:val="72"/>
          <w:szCs w:val="72"/>
          <w:highlight w:val="none"/>
        </w:rPr>
        <w:t>福建省政府采购</w:t>
      </w:r>
    </w:p>
    <w:p w14:paraId="29B864E8">
      <w:pPr>
        <w:pStyle w:val="16"/>
        <w:jc w:val="center"/>
        <w:outlineLvl w:val="0"/>
        <w:rPr>
          <w:rFonts w:hint="default" w:ascii="宋体" w:hAnsi="宋体" w:eastAsia="宋体" w:cs="宋体"/>
          <w:color w:val="auto"/>
          <w:sz w:val="72"/>
          <w:szCs w:val="72"/>
          <w:highlight w:val="none"/>
        </w:rPr>
      </w:pPr>
      <w:r>
        <w:rPr>
          <w:rFonts w:ascii="宋体" w:hAnsi="宋体" w:eastAsia="宋体" w:cs="宋体"/>
          <w:b/>
          <w:color w:val="auto"/>
          <w:sz w:val="72"/>
          <w:szCs w:val="72"/>
          <w:highlight w:val="none"/>
        </w:rPr>
        <w:t>货物和服务项目</w:t>
      </w:r>
    </w:p>
    <w:p w14:paraId="363F20A5">
      <w:pPr>
        <w:pStyle w:val="16"/>
        <w:jc w:val="center"/>
        <w:outlineLvl w:val="0"/>
        <w:rPr>
          <w:rFonts w:hint="default" w:ascii="宋体" w:hAnsi="宋体" w:eastAsia="宋体" w:cs="宋体"/>
          <w:color w:val="auto"/>
          <w:sz w:val="72"/>
          <w:szCs w:val="72"/>
          <w:highlight w:val="none"/>
        </w:rPr>
      </w:pPr>
      <w:r>
        <w:rPr>
          <w:rFonts w:ascii="宋体" w:hAnsi="宋体" w:eastAsia="宋体" w:cs="宋体"/>
          <w:b/>
          <w:color w:val="auto"/>
          <w:sz w:val="72"/>
          <w:szCs w:val="72"/>
          <w:highlight w:val="none"/>
        </w:rPr>
        <w:t>公开招标文件</w:t>
      </w:r>
    </w:p>
    <w:p w14:paraId="5D8804D6">
      <w:pPr>
        <w:pStyle w:val="16"/>
        <w:jc w:val="center"/>
        <w:outlineLvl w:val="2"/>
        <w:rPr>
          <w:rFonts w:hint="eastAsia" w:ascii="宋体" w:hAnsi="宋体" w:eastAsia="宋体" w:cs="宋体"/>
          <w:b/>
          <w:color w:val="auto"/>
          <w:sz w:val="28"/>
          <w:highlight w:val="none"/>
          <w:lang w:eastAsia="zh-CN"/>
        </w:rPr>
      </w:pPr>
      <w:r>
        <w:rPr>
          <w:rFonts w:hint="eastAsia" w:ascii="宋体" w:hAnsi="宋体" w:eastAsia="宋体" w:cs="宋体"/>
          <w:b/>
          <w:color w:val="auto"/>
          <w:sz w:val="72"/>
          <w:szCs w:val="72"/>
          <w:highlight w:val="none"/>
          <w:lang w:val="en-US" w:eastAsia="zh-CN"/>
        </w:rPr>
        <w:t>（预公告版</w:t>
      </w:r>
      <w:r>
        <w:rPr>
          <w:rFonts w:hint="eastAsia" w:ascii="宋体" w:hAnsi="宋体" w:eastAsia="宋体" w:cs="宋体"/>
          <w:b/>
          <w:color w:val="auto"/>
          <w:sz w:val="72"/>
          <w:szCs w:val="72"/>
          <w:highlight w:val="none"/>
          <w:lang w:eastAsia="zh-CN"/>
        </w:rPr>
        <w:t>）</w:t>
      </w:r>
    </w:p>
    <w:p w14:paraId="795BFFE5">
      <w:pPr>
        <w:pStyle w:val="16"/>
        <w:jc w:val="center"/>
        <w:outlineLvl w:val="2"/>
        <w:rPr>
          <w:rFonts w:hint="default" w:ascii="宋体" w:hAnsi="宋体" w:eastAsia="宋体" w:cs="宋体"/>
          <w:b/>
          <w:color w:val="auto"/>
          <w:sz w:val="28"/>
          <w:highlight w:val="none"/>
        </w:rPr>
      </w:pPr>
    </w:p>
    <w:p w14:paraId="138DF706">
      <w:pPr>
        <w:pStyle w:val="16"/>
        <w:jc w:val="center"/>
        <w:outlineLvl w:val="2"/>
        <w:rPr>
          <w:rFonts w:hint="default" w:ascii="宋体" w:hAnsi="宋体" w:eastAsia="宋体" w:cs="宋体"/>
          <w:b/>
          <w:color w:val="auto"/>
          <w:sz w:val="28"/>
          <w:highlight w:val="none"/>
        </w:rPr>
      </w:pPr>
    </w:p>
    <w:p w14:paraId="70F37856">
      <w:pPr>
        <w:pStyle w:val="16"/>
        <w:ind w:firstLine="643" w:firstLineChars="200"/>
        <w:jc w:val="both"/>
        <w:outlineLvl w:val="2"/>
        <w:rPr>
          <w:rFonts w:hint="default" w:ascii="宋体" w:hAnsi="宋体" w:eastAsia="宋体" w:cs="宋体"/>
          <w:color w:val="auto"/>
          <w:sz w:val="32"/>
          <w:szCs w:val="32"/>
          <w:highlight w:val="none"/>
          <w:lang w:eastAsia="zh-CN"/>
        </w:rPr>
      </w:pPr>
      <w:r>
        <w:rPr>
          <w:rFonts w:ascii="宋体" w:hAnsi="宋体" w:eastAsia="宋体" w:cs="宋体"/>
          <w:b/>
          <w:color w:val="auto"/>
          <w:sz w:val="32"/>
          <w:szCs w:val="32"/>
          <w:highlight w:val="none"/>
        </w:rPr>
        <w:t>项目名称：</w:t>
      </w:r>
      <w:r>
        <w:rPr>
          <w:rFonts w:hint="eastAsia" w:ascii="宋体" w:hAnsi="宋体" w:eastAsia="宋体" w:cs="宋体"/>
          <w:b/>
          <w:color w:val="auto"/>
          <w:sz w:val="32"/>
          <w:szCs w:val="32"/>
          <w:highlight w:val="none"/>
          <w:lang w:eastAsia="zh-CN"/>
        </w:rPr>
        <w:t>摇奖机采购项目</w:t>
      </w:r>
    </w:p>
    <w:p w14:paraId="1C318870">
      <w:pPr>
        <w:pStyle w:val="16"/>
        <w:ind w:firstLine="643" w:firstLineChars="200"/>
        <w:jc w:val="both"/>
        <w:outlineLvl w:val="2"/>
        <w:rPr>
          <w:rFonts w:hint="default" w:ascii="宋体" w:hAnsi="宋体" w:eastAsia="宋体" w:cs="宋体"/>
          <w:color w:val="auto"/>
          <w:sz w:val="32"/>
          <w:szCs w:val="32"/>
          <w:highlight w:val="none"/>
          <w:lang w:eastAsia="zh-CN"/>
        </w:rPr>
      </w:pPr>
      <w:r>
        <w:rPr>
          <w:rFonts w:ascii="宋体" w:hAnsi="宋体" w:eastAsia="宋体" w:cs="宋体"/>
          <w:b/>
          <w:color w:val="auto"/>
          <w:sz w:val="32"/>
          <w:szCs w:val="32"/>
          <w:highlight w:val="none"/>
        </w:rPr>
        <w:t>备案编号：</w:t>
      </w:r>
      <w:r>
        <w:rPr>
          <w:rFonts w:hint="eastAsia" w:ascii="宋体" w:hAnsi="宋体" w:eastAsia="宋体" w:cs="宋体"/>
          <w:b/>
          <w:color w:val="auto"/>
          <w:sz w:val="32"/>
          <w:szCs w:val="32"/>
          <w:highlight w:val="none"/>
          <w:lang w:eastAsia="zh-CN"/>
        </w:rPr>
        <w:t xml:space="preserve">CGXM-2026-350001-00818[2026]06795          </w:t>
      </w:r>
    </w:p>
    <w:p w14:paraId="0F0B2EE9">
      <w:pPr>
        <w:pStyle w:val="16"/>
        <w:ind w:firstLine="643" w:firstLineChars="200"/>
        <w:jc w:val="both"/>
        <w:outlineLvl w:val="2"/>
        <w:rPr>
          <w:rFonts w:hint="default" w:ascii="宋体" w:hAnsi="宋体" w:eastAsia="宋体" w:cs="宋体"/>
          <w:color w:val="auto"/>
          <w:sz w:val="32"/>
          <w:szCs w:val="32"/>
          <w:highlight w:val="none"/>
          <w:lang w:eastAsia="zh-CN"/>
        </w:rPr>
      </w:pPr>
      <w:r>
        <w:rPr>
          <w:rFonts w:ascii="宋体" w:hAnsi="宋体" w:eastAsia="宋体" w:cs="宋体"/>
          <w:b/>
          <w:color w:val="auto"/>
          <w:sz w:val="32"/>
          <w:szCs w:val="32"/>
          <w:highlight w:val="none"/>
        </w:rPr>
        <w:t>项目编号：</w:t>
      </w:r>
      <w:r>
        <w:rPr>
          <w:rFonts w:hint="eastAsia" w:ascii="宋体" w:hAnsi="宋体" w:eastAsia="宋体" w:cs="宋体"/>
          <w:b/>
          <w:color w:val="auto"/>
          <w:sz w:val="32"/>
          <w:szCs w:val="32"/>
          <w:highlight w:val="none"/>
          <w:lang w:eastAsia="zh-CN"/>
        </w:rPr>
        <w:t xml:space="preserve">[350001]FJZSZB[GK]2026004          </w:t>
      </w:r>
    </w:p>
    <w:p w14:paraId="50126370">
      <w:pPr>
        <w:pStyle w:val="16"/>
        <w:jc w:val="center"/>
        <w:outlineLvl w:val="2"/>
        <w:rPr>
          <w:rFonts w:hint="default" w:ascii="宋体" w:hAnsi="宋体" w:eastAsia="宋体" w:cs="宋体"/>
          <w:b/>
          <w:color w:val="auto"/>
          <w:sz w:val="28"/>
          <w:szCs w:val="28"/>
          <w:highlight w:val="none"/>
        </w:rPr>
      </w:pPr>
    </w:p>
    <w:p w14:paraId="0CCCEBA0">
      <w:pPr>
        <w:pStyle w:val="16"/>
        <w:jc w:val="center"/>
        <w:outlineLvl w:val="2"/>
        <w:rPr>
          <w:rFonts w:hint="default" w:ascii="宋体" w:hAnsi="宋体" w:eastAsia="宋体" w:cs="宋体"/>
          <w:b/>
          <w:color w:val="auto"/>
          <w:sz w:val="28"/>
          <w:szCs w:val="28"/>
          <w:highlight w:val="none"/>
        </w:rPr>
      </w:pPr>
    </w:p>
    <w:p w14:paraId="59757009">
      <w:pPr>
        <w:pStyle w:val="16"/>
        <w:jc w:val="center"/>
        <w:outlineLvl w:val="2"/>
        <w:rPr>
          <w:rFonts w:hint="default" w:ascii="宋体" w:hAnsi="宋体" w:eastAsia="宋体" w:cs="宋体"/>
          <w:b/>
          <w:color w:val="auto"/>
          <w:sz w:val="28"/>
          <w:szCs w:val="28"/>
          <w:highlight w:val="none"/>
        </w:rPr>
      </w:pPr>
    </w:p>
    <w:p w14:paraId="377761CF">
      <w:pPr>
        <w:pStyle w:val="16"/>
        <w:jc w:val="center"/>
        <w:outlineLvl w:val="2"/>
        <w:rPr>
          <w:rFonts w:hint="default" w:ascii="宋体" w:hAnsi="宋体" w:eastAsia="宋体" w:cs="宋体"/>
          <w:b/>
          <w:color w:val="auto"/>
          <w:sz w:val="28"/>
          <w:szCs w:val="28"/>
          <w:highlight w:val="none"/>
        </w:rPr>
      </w:pPr>
    </w:p>
    <w:p w14:paraId="1A623394">
      <w:pPr>
        <w:pStyle w:val="16"/>
        <w:jc w:val="center"/>
        <w:outlineLvl w:val="2"/>
        <w:rPr>
          <w:rFonts w:hint="default" w:ascii="宋体" w:hAnsi="宋体" w:eastAsia="宋体" w:cs="宋体"/>
          <w:b/>
          <w:color w:val="auto"/>
          <w:sz w:val="28"/>
          <w:szCs w:val="28"/>
          <w:highlight w:val="none"/>
        </w:rPr>
      </w:pPr>
    </w:p>
    <w:p w14:paraId="2350882D">
      <w:pPr>
        <w:pStyle w:val="16"/>
        <w:jc w:val="both"/>
        <w:outlineLvl w:val="2"/>
        <w:rPr>
          <w:rFonts w:hint="default" w:ascii="宋体" w:hAnsi="宋体" w:eastAsia="宋体" w:cs="宋体"/>
          <w:b/>
          <w:color w:val="auto"/>
          <w:sz w:val="28"/>
          <w:szCs w:val="28"/>
          <w:highlight w:val="none"/>
        </w:rPr>
      </w:pPr>
    </w:p>
    <w:p w14:paraId="4537520C">
      <w:pPr>
        <w:pStyle w:val="16"/>
        <w:jc w:val="center"/>
        <w:outlineLvl w:val="2"/>
        <w:rPr>
          <w:rFonts w:hint="default" w:ascii="宋体" w:hAnsi="宋体" w:eastAsia="宋体" w:cs="宋体"/>
          <w:color w:val="auto"/>
          <w:sz w:val="28"/>
          <w:szCs w:val="28"/>
          <w:highlight w:val="none"/>
          <w:lang w:eastAsia="zh-CN"/>
        </w:rPr>
      </w:pPr>
      <w:r>
        <w:rPr>
          <w:rFonts w:ascii="宋体" w:hAnsi="宋体" w:eastAsia="宋体" w:cs="宋体"/>
          <w:b/>
          <w:color w:val="auto"/>
          <w:sz w:val="28"/>
          <w:szCs w:val="28"/>
          <w:highlight w:val="none"/>
        </w:rPr>
        <w:t>采购人：</w:t>
      </w:r>
      <w:r>
        <w:rPr>
          <w:rFonts w:hint="eastAsia" w:ascii="宋体" w:hAnsi="宋体" w:eastAsia="宋体" w:cs="宋体"/>
          <w:b/>
          <w:color w:val="auto"/>
          <w:sz w:val="28"/>
          <w:szCs w:val="28"/>
          <w:highlight w:val="none"/>
          <w:lang w:eastAsia="zh-CN"/>
        </w:rPr>
        <w:t>福建省体育彩票管理中心</w:t>
      </w:r>
    </w:p>
    <w:p w14:paraId="32726C50">
      <w:pPr>
        <w:pStyle w:val="16"/>
        <w:jc w:val="center"/>
        <w:outlineLvl w:val="2"/>
        <w:rPr>
          <w:rFonts w:hint="default" w:ascii="宋体" w:hAnsi="宋体" w:eastAsia="宋体" w:cs="宋体"/>
          <w:color w:val="auto"/>
          <w:sz w:val="28"/>
          <w:szCs w:val="28"/>
          <w:highlight w:val="none"/>
          <w:lang w:eastAsia="zh-CN"/>
        </w:rPr>
      </w:pPr>
      <w:r>
        <w:rPr>
          <w:rFonts w:ascii="宋体" w:hAnsi="宋体" w:eastAsia="宋体" w:cs="宋体"/>
          <w:b/>
          <w:color w:val="auto"/>
          <w:sz w:val="28"/>
          <w:szCs w:val="28"/>
          <w:highlight w:val="none"/>
        </w:rPr>
        <w:t>代理机构：</w:t>
      </w:r>
      <w:r>
        <w:rPr>
          <w:rFonts w:ascii="宋体" w:hAnsi="宋体" w:eastAsia="宋体" w:cs="宋体"/>
          <w:b/>
          <w:color w:val="auto"/>
          <w:sz w:val="28"/>
          <w:szCs w:val="28"/>
          <w:highlight w:val="none"/>
          <w:lang w:eastAsia="zh-CN"/>
        </w:rPr>
        <w:t>福建正燊招标代理有限公司</w:t>
      </w:r>
    </w:p>
    <w:p w14:paraId="081FD3ED">
      <w:pPr>
        <w:pStyle w:val="16"/>
        <w:jc w:val="center"/>
        <w:outlineLvl w:val="1"/>
        <w:rPr>
          <w:rFonts w:hint="default" w:ascii="宋体" w:hAnsi="宋体" w:eastAsia="宋体" w:cs="宋体"/>
          <w:color w:val="auto"/>
          <w:highlight w:val="none"/>
        </w:rPr>
        <w:sectPr>
          <w:headerReference r:id="rId4" w:type="first"/>
          <w:footerReference r:id="rId6" w:type="first"/>
          <w:headerReference r:id="rId3" w:type="even"/>
          <w:footerReference r:id="rId5" w:type="even"/>
          <w:pgSz w:w="11906" w:h="16838"/>
          <w:pgMar w:top="1440" w:right="1486" w:bottom="1440" w:left="1800" w:header="851" w:footer="992" w:gutter="0"/>
          <w:cols w:space="425" w:num="1"/>
          <w:docGrid w:type="lines" w:linePitch="312" w:charSpace="0"/>
        </w:sectPr>
      </w:pPr>
      <w:r>
        <w:rPr>
          <w:rFonts w:ascii="宋体" w:hAnsi="宋体" w:eastAsia="宋体" w:cs="宋体"/>
          <w:b/>
          <w:color w:val="auto"/>
          <w:sz w:val="28"/>
          <w:szCs w:val="28"/>
          <w:highlight w:val="none"/>
        </w:rPr>
        <w:t>编制时间：2026年</w:t>
      </w:r>
      <w:r>
        <w:rPr>
          <w:rFonts w:hint="eastAsia" w:ascii="宋体" w:hAnsi="宋体" w:eastAsia="宋体" w:cs="宋体"/>
          <w:b/>
          <w:color w:val="auto"/>
          <w:sz w:val="28"/>
          <w:szCs w:val="28"/>
          <w:highlight w:val="none"/>
          <w:lang w:val="en-US" w:eastAsia="zh-CN"/>
        </w:rPr>
        <w:t>09</w:t>
      </w:r>
      <w:r>
        <w:rPr>
          <w:rFonts w:ascii="宋体" w:hAnsi="宋体" w:eastAsia="宋体" w:cs="宋体"/>
          <w:b/>
          <w:color w:val="auto"/>
          <w:sz w:val="28"/>
          <w:szCs w:val="28"/>
          <w:highlight w:val="none"/>
        </w:rPr>
        <w:t>月</w:t>
      </w:r>
      <w:r>
        <w:rPr>
          <w:rFonts w:ascii="宋体" w:hAnsi="宋体" w:eastAsia="宋体" w:cs="宋体"/>
          <w:color w:val="auto"/>
          <w:highlight w:val="none"/>
        </w:rPr>
        <w:t xml:space="preserve"> </w:t>
      </w:r>
      <w:r>
        <w:rPr>
          <w:rFonts w:ascii="宋体" w:hAnsi="宋体" w:eastAsia="宋体" w:cs="宋体"/>
          <w:color w:val="auto"/>
          <w:highlight w:val="none"/>
        </w:rPr>
        <w:br w:type="textWrapping"/>
      </w:r>
    </w:p>
    <w:p w14:paraId="321D4B0F">
      <w:pPr>
        <w:pStyle w:val="16"/>
        <w:jc w:val="center"/>
        <w:outlineLvl w:val="1"/>
        <w:rPr>
          <w:rFonts w:hint="default" w:ascii="宋体" w:hAnsi="宋体" w:eastAsia="宋体" w:cs="宋体"/>
          <w:color w:val="auto"/>
          <w:sz w:val="32"/>
          <w:szCs w:val="32"/>
          <w:highlight w:val="none"/>
        </w:rPr>
      </w:pPr>
      <w:r>
        <w:rPr>
          <w:rFonts w:ascii="宋体" w:hAnsi="宋体" w:eastAsia="宋体" w:cs="宋体"/>
          <w:b/>
          <w:color w:val="auto"/>
          <w:sz w:val="32"/>
          <w:szCs w:val="32"/>
          <w:highlight w:val="none"/>
        </w:rPr>
        <w:t>第一章 投标邀请</w:t>
      </w:r>
    </w:p>
    <w:p w14:paraId="077BD1EA">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采用公开招标方式组织</w:t>
      </w:r>
      <w:r>
        <w:rPr>
          <w:rFonts w:hint="eastAsia" w:ascii="宋体" w:hAnsi="宋体" w:eastAsia="宋体" w:cs="宋体"/>
          <w:color w:val="auto"/>
          <w:sz w:val="24"/>
          <w:szCs w:val="24"/>
          <w:highlight w:val="none"/>
          <w:lang w:eastAsia="zh-CN"/>
        </w:rPr>
        <w:t>摇奖机采购项目</w:t>
      </w:r>
      <w:r>
        <w:rPr>
          <w:rFonts w:ascii="宋体" w:hAnsi="宋体" w:eastAsia="宋体" w:cs="宋体"/>
          <w:color w:val="auto"/>
          <w:sz w:val="24"/>
          <w:szCs w:val="24"/>
          <w:highlight w:val="none"/>
        </w:rPr>
        <w:t>（以下简称：“本项目”）的政府采购活动，现邀请供应商参加投标。</w:t>
      </w:r>
    </w:p>
    <w:p w14:paraId="5199BAC9">
      <w:pPr>
        <w:pStyle w:val="16"/>
        <w:keepNext w:val="0"/>
        <w:keepLines w:val="0"/>
        <w:pageBreakBefore w:val="0"/>
        <w:widowControl/>
        <w:kinsoku/>
        <w:wordWrap/>
        <w:overflowPunct/>
        <w:topLinePunct w:val="0"/>
        <w:autoSpaceDE/>
        <w:autoSpaceDN/>
        <w:bidi w:val="0"/>
        <w:adjustRightInd/>
        <w:snapToGrid/>
        <w:spacing w:line="360" w:lineRule="atLeast"/>
        <w:ind w:firstLine="480"/>
        <w:textAlignment w:val="auto"/>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1、备案编号：</w:t>
      </w:r>
      <w:r>
        <w:rPr>
          <w:rFonts w:hint="eastAsia" w:ascii="宋体" w:hAnsi="宋体" w:eastAsia="宋体" w:cs="宋体"/>
          <w:b/>
          <w:color w:val="auto"/>
          <w:sz w:val="24"/>
          <w:szCs w:val="24"/>
          <w:highlight w:val="none"/>
          <w:lang w:eastAsia="zh-CN"/>
        </w:rPr>
        <w:t xml:space="preserve">CGXM-2026-350001-00818[2026]06795      </w:t>
      </w:r>
    </w:p>
    <w:p w14:paraId="3881E7FA">
      <w:pPr>
        <w:pStyle w:val="16"/>
        <w:keepNext w:val="0"/>
        <w:keepLines w:val="0"/>
        <w:pageBreakBefore w:val="0"/>
        <w:widowControl/>
        <w:kinsoku/>
        <w:wordWrap/>
        <w:overflowPunct/>
        <w:topLinePunct w:val="0"/>
        <w:autoSpaceDE/>
        <w:autoSpaceDN/>
        <w:bidi w:val="0"/>
        <w:adjustRightInd/>
        <w:snapToGrid/>
        <w:spacing w:line="360" w:lineRule="atLeast"/>
        <w:ind w:firstLine="480"/>
        <w:textAlignment w:val="auto"/>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2、项目编号：</w:t>
      </w:r>
      <w:r>
        <w:rPr>
          <w:rFonts w:hint="eastAsia" w:ascii="宋体" w:hAnsi="宋体" w:eastAsia="宋体" w:cs="宋体"/>
          <w:b/>
          <w:color w:val="auto"/>
          <w:sz w:val="24"/>
          <w:szCs w:val="24"/>
          <w:highlight w:val="none"/>
          <w:lang w:eastAsia="zh-CN"/>
        </w:rPr>
        <w:t xml:space="preserve">[350001]FJZSZB[GK]2026004        </w:t>
      </w:r>
    </w:p>
    <w:p w14:paraId="79FEEE3C">
      <w:pPr>
        <w:pStyle w:val="16"/>
        <w:keepNext w:val="0"/>
        <w:keepLines w:val="0"/>
        <w:pageBreakBefore w:val="0"/>
        <w:widowControl/>
        <w:kinsoku/>
        <w:wordWrap/>
        <w:overflowPunct/>
        <w:topLinePunct w:val="0"/>
        <w:autoSpaceDE/>
        <w:autoSpaceDN/>
        <w:bidi w:val="0"/>
        <w:adjustRightInd/>
        <w:snapToGrid/>
        <w:spacing w:line="360" w:lineRule="atLeast"/>
        <w:ind w:firstLine="48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3、预算金额、最高限价：详见《采购标的一览表》。</w:t>
      </w:r>
    </w:p>
    <w:p w14:paraId="3BB1995A">
      <w:pPr>
        <w:pStyle w:val="16"/>
        <w:keepNext w:val="0"/>
        <w:keepLines w:val="0"/>
        <w:pageBreakBefore w:val="0"/>
        <w:widowControl/>
        <w:kinsoku/>
        <w:wordWrap/>
        <w:overflowPunct/>
        <w:topLinePunct w:val="0"/>
        <w:autoSpaceDE/>
        <w:autoSpaceDN/>
        <w:bidi w:val="0"/>
        <w:adjustRightInd/>
        <w:snapToGrid/>
        <w:spacing w:line="360" w:lineRule="atLeast"/>
        <w:ind w:firstLine="480"/>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4、招标内容及要求：详见《采购标的一览表》及招标文件第五章。</w:t>
      </w:r>
    </w:p>
    <w:p w14:paraId="1BC62B0C">
      <w:pPr>
        <w:pStyle w:val="16"/>
        <w:keepNext w:val="0"/>
        <w:keepLines w:val="0"/>
        <w:pageBreakBefore w:val="0"/>
        <w:widowControl/>
        <w:kinsoku/>
        <w:wordWrap/>
        <w:overflowPunct/>
        <w:topLinePunct w:val="0"/>
        <w:autoSpaceDE/>
        <w:autoSpaceDN/>
        <w:bidi w:val="0"/>
        <w:adjustRightInd/>
        <w:snapToGrid/>
        <w:spacing w:line="360" w:lineRule="atLeast"/>
        <w:ind w:firstLine="480"/>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5、需要落实的政府采购政策</w:t>
      </w:r>
    </w:p>
    <w:p w14:paraId="2FDCE767">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进口产品：</w:t>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val="en-US" w:eastAsia="zh-CN"/>
        </w:rPr>
        <w:t>于</w:t>
      </w:r>
      <w:r>
        <w:rPr>
          <w:rFonts w:hint="eastAsia" w:ascii="宋体" w:hAnsi="宋体" w:eastAsia="宋体" w:cs="宋体"/>
          <w:color w:val="auto"/>
          <w:sz w:val="24"/>
          <w:szCs w:val="24"/>
          <w:highlight w:val="none"/>
        </w:rPr>
        <w:t>本项目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按照《政府采购进口产品管理办法》（财库[2007]119号）等规定执行</w:t>
      </w:r>
      <w:r>
        <w:rPr>
          <w:rFonts w:hint="eastAsia" w:ascii="宋体" w:hAnsi="宋体" w:eastAsia="宋体" w:cs="宋体"/>
          <w:color w:val="auto"/>
          <w:sz w:val="24"/>
          <w:szCs w:val="24"/>
          <w:highlight w:val="none"/>
          <w:lang w:eastAsia="zh-CN"/>
        </w:rPr>
        <w:t>。</w:t>
      </w:r>
    </w:p>
    <w:p w14:paraId="3998E4A0">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节能产品：</w:t>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val="en-US" w:eastAsia="zh-CN"/>
        </w:rPr>
        <w:t>于</w:t>
      </w:r>
      <w:r>
        <w:rPr>
          <w:rFonts w:hint="eastAsia" w:ascii="宋体" w:hAnsi="宋体" w:eastAsia="宋体" w:cs="宋体"/>
          <w:color w:val="auto"/>
          <w:sz w:val="24"/>
          <w:szCs w:val="24"/>
          <w:highlight w:val="none"/>
        </w:rPr>
        <w:t>本项目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rPr>
        <w:t>按照财政部《关于印发节能产品政府采购品目清单》（财库〔2019〕19号）或最新公布的品目清单执行。</w:t>
      </w:r>
    </w:p>
    <w:p w14:paraId="6393C12E">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环境标志产品：</w:t>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val="en-US" w:eastAsia="zh-CN"/>
        </w:rPr>
        <w:t>于</w:t>
      </w:r>
      <w:r>
        <w:rPr>
          <w:rFonts w:hint="eastAsia" w:ascii="宋体" w:hAnsi="宋体" w:eastAsia="宋体" w:cs="宋体"/>
          <w:color w:val="auto"/>
          <w:sz w:val="24"/>
          <w:szCs w:val="24"/>
          <w:highlight w:val="none"/>
        </w:rPr>
        <w:t>本项目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rPr>
        <w:t>按照财政部《关于印发环境标志产品政府采购品目清单的通知》（财库〔2019〕18号）或最新公布的品目清单执行。</w:t>
      </w:r>
    </w:p>
    <w:p w14:paraId="44AF01CD">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促进中小企业发展的相关政策：</w:t>
      </w:r>
    </w:p>
    <w:p w14:paraId="35536F06">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采购包1：</w:t>
      </w:r>
      <w:r>
        <w:rPr>
          <w:rFonts w:hint="eastAsia" w:ascii="宋体" w:hAnsi="宋体" w:eastAsia="宋体" w:cs="宋体"/>
          <w:color w:val="auto"/>
          <w:sz w:val="24"/>
          <w:szCs w:val="24"/>
          <w:highlight w:val="none"/>
          <w:lang w:val="en-US" w:eastAsia="zh-CN" w:bidi="ar-SA"/>
        </w:rPr>
        <w:t>不专门面向中小企业采购</w:t>
      </w:r>
    </w:p>
    <w:p w14:paraId="6710EBCA">
      <w:pPr>
        <w:pStyle w:val="16"/>
        <w:keepNext w:val="0"/>
        <w:keepLines w:val="0"/>
        <w:pageBreakBefore w:val="0"/>
        <w:widowControl/>
        <w:kinsoku/>
        <w:wordWrap/>
        <w:overflowPunct/>
        <w:topLinePunct w:val="0"/>
        <w:autoSpaceDE/>
        <w:autoSpaceDN/>
        <w:bidi w:val="0"/>
        <w:adjustRightInd/>
        <w:snapToGrid/>
        <w:spacing w:line="360" w:lineRule="atLeast"/>
        <w:ind w:firstLine="48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6、投标人的资格要求</w:t>
      </w:r>
    </w:p>
    <w:p w14:paraId="10D3F8A5">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6.1法定条件：符合政府采购法第二十二条第一款规定的条件。</w:t>
      </w:r>
    </w:p>
    <w:p w14:paraId="22970B53">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6.2特定条件：</w:t>
      </w:r>
    </w:p>
    <w:p w14:paraId="7B6CBAE8">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1"/>
        <w:tblW w:w="4889" w:type="pct"/>
        <w:tblInd w:w="129"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17"/>
        <w:gridCol w:w="6634"/>
      </w:tblGrid>
      <w:tr w14:paraId="2554F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7" w:hRule="atLeast"/>
        </w:trPr>
        <w:tc>
          <w:tcPr>
            <w:tcW w:w="1335" w:type="pct"/>
            <w:vAlign w:val="center"/>
          </w:tcPr>
          <w:p w14:paraId="668DF68A">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资格审查要求概况</w:t>
            </w:r>
          </w:p>
        </w:tc>
        <w:tc>
          <w:tcPr>
            <w:tcW w:w="3664" w:type="pct"/>
            <w:vAlign w:val="center"/>
          </w:tcPr>
          <w:p w14:paraId="19BE69F8">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评审点具体描述</w:t>
            </w:r>
          </w:p>
        </w:tc>
      </w:tr>
      <w:tr w14:paraId="60FB1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5" w:type="pct"/>
            <w:vAlign w:val="center"/>
          </w:tcPr>
          <w:p w14:paraId="65F7E591">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3664" w:type="pct"/>
          </w:tcPr>
          <w:p w14:paraId="2AE0B12C">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69982FD1">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6.3是否接受联合体投标：</w:t>
      </w:r>
    </w:p>
    <w:p w14:paraId="7E52CE2A">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采购包1：不接受</w:t>
      </w:r>
    </w:p>
    <w:p w14:paraId="38E73331">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jc w:val="both"/>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※根据上述资格要求，电子投标文件中应提交的“投标人的资格及资信证明文件”详见招标文件第四章。</w:t>
      </w:r>
    </w:p>
    <w:p w14:paraId="0AB03288">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7、招标文件的获取</w:t>
      </w:r>
    </w:p>
    <w:p w14:paraId="4AB2BBED">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7.1、招标文件获取期限：详见招标公告或更正公告，若不一致，以更正公告为准。</w:t>
      </w:r>
    </w:p>
    <w:p w14:paraId="432A220E">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7.2、</w:t>
      </w:r>
      <w:r>
        <w:rPr>
          <w:rFonts w:hint="eastAsia" w:ascii="宋体" w:hAnsi="宋体" w:eastAsia="宋体" w:cs="宋体"/>
          <w:color w:val="auto"/>
          <w:sz w:val="24"/>
          <w:szCs w:val="24"/>
          <w:highlight w:val="none"/>
        </w:rPr>
        <w:t>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4F576E55">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7.3、获取地点及方式：注册账号后，通过福建省政府采购网上公开信息系统以下载方式获取。</w:t>
      </w:r>
    </w:p>
    <w:p w14:paraId="0F929BB1">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7.4、招标文件售价：0元。</w:t>
      </w:r>
    </w:p>
    <w:p w14:paraId="45C1C4A2">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8、投标截止</w:t>
      </w:r>
    </w:p>
    <w:p w14:paraId="7A4D2568">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8.1、投标截止时间：详见招标公告或更正公告，若不一致，以更正公告为准。</w:t>
      </w:r>
    </w:p>
    <w:p w14:paraId="745EE9DB">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8.2、投标人应在投标截止时间前按照福建省政府采购网上公开信息系统设定的操作流程将电子投标文件上传至福建省政府采购网上公开信息系统，否则投标将被拒绝。</w:t>
      </w:r>
    </w:p>
    <w:p w14:paraId="001758CB">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9、开标时间及地点</w:t>
      </w:r>
    </w:p>
    <w:p w14:paraId="68807963">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详见招标公告或更正公告，若不一致，以更正公告为准。</w:t>
      </w:r>
    </w:p>
    <w:p w14:paraId="752CB662">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10、公告期限</w:t>
      </w:r>
    </w:p>
    <w:p w14:paraId="2D86DCBF">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10.1、招标公告的公告期限：自财政部和福建省财政厅指定的政府采购信息发布媒体最先发布公告之日起5个工作日。</w:t>
      </w:r>
    </w:p>
    <w:p w14:paraId="777CFEB5">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10.2、招标文件公告期限：招标文件随同招标公告一并发布，其公告期限与招标公告的公告期限保持一致。</w:t>
      </w:r>
    </w:p>
    <w:p w14:paraId="6E9F17EC">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textAlignment w:val="auto"/>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11、采购人：</w:t>
      </w:r>
      <w:r>
        <w:rPr>
          <w:rFonts w:hint="eastAsia" w:ascii="宋体" w:hAnsi="宋体" w:eastAsia="宋体" w:cs="宋体"/>
          <w:b/>
          <w:color w:val="auto"/>
          <w:sz w:val="24"/>
          <w:szCs w:val="24"/>
          <w:highlight w:val="none"/>
          <w:lang w:eastAsia="zh-CN"/>
        </w:rPr>
        <w:t>福建省体育彩票管理中心</w:t>
      </w:r>
    </w:p>
    <w:p w14:paraId="4B76D57A">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地址：</w:t>
      </w:r>
      <w:r>
        <w:rPr>
          <w:rFonts w:hint="eastAsia" w:ascii="宋体" w:hAnsi="宋体" w:eastAsia="宋体" w:cs="宋体"/>
          <w:i w:val="0"/>
          <w:iCs w:val="0"/>
          <w:caps w:val="0"/>
          <w:color w:val="auto"/>
          <w:spacing w:val="0"/>
          <w:sz w:val="24"/>
          <w:szCs w:val="24"/>
          <w:shd w:val="clear" w:fill="FFFFFF"/>
        </w:rPr>
        <w:t>福建省福州市鼓楼区江厝路15号</w:t>
      </w:r>
    </w:p>
    <w:p w14:paraId="191F8DF1">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邮编：</w:t>
      </w:r>
      <w:r>
        <w:rPr>
          <w:rFonts w:ascii="宋体" w:hAnsi="宋体" w:eastAsia="宋体" w:cs="宋体"/>
          <w:color w:val="auto"/>
          <w:sz w:val="24"/>
          <w:szCs w:val="24"/>
          <w:highlight w:val="none"/>
          <w:lang w:eastAsia="zh-CN"/>
        </w:rPr>
        <w:t>3500</w:t>
      </w:r>
      <w:r>
        <w:rPr>
          <w:rFonts w:hint="eastAsia" w:ascii="宋体" w:hAnsi="宋体" w:eastAsia="宋体" w:cs="宋体"/>
          <w:color w:val="auto"/>
          <w:sz w:val="24"/>
          <w:szCs w:val="24"/>
          <w:highlight w:val="none"/>
          <w:lang w:val="en-US" w:eastAsia="zh-CN"/>
        </w:rPr>
        <w:t>12</w:t>
      </w:r>
    </w:p>
    <w:p w14:paraId="1AA79C90">
      <w:pPr>
        <w:pStyle w:val="16"/>
        <w:spacing w:line="340" w:lineRule="exact"/>
        <w:ind w:firstLine="480" w:firstLineChars="200"/>
        <w:rPr>
          <w:rFonts w:hint="default" w:ascii="宋体" w:hAnsi="宋体" w:eastAsia="宋体" w:cs="宋体"/>
          <w:color w:val="auto"/>
          <w:sz w:val="24"/>
          <w:szCs w:val="24"/>
          <w:lang w:val="en-US" w:eastAsia="zh-CN"/>
        </w:rPr>
      </w:pPr>
      <w:r>
        <w:rPr>
          <w:rFonts w:ascii="宋体" w:hAnsi="宋体" w:eastAsia="宋体" w:cs="宋体"/>
          <w:color w:val="auto"/>
          <w:sz w:val="24"/>
          <w:szCs w:val="24"/>
        </w:rPr>
        <w:t>联系人：</w:t>
      </w:r>
      <w:r>
        <w:rPr>
          <w:rFonts w:ascii="宋体" w:hAnsi="宋体" w:eastAsia="宋体" w:cs="宋体"/>
          <w:color w:val="auto"/>
          <w:sz w:val="24"/>
          <w:szCs w:val="24"/>
          <w:lang w:eastAsia="zh-CN"/>
        </w:rPr>
        <w:t>王</w:t>
      </w:r>
      <w:r>
        <w:rPr>
          <w:rFonts w:hint="eastAsia" w:ascii="宋体" w:hAnsi="宋体" w:eastAsia="宋体" w:cs="宋体"/>
          <w:color w:val="auto"/>
          <w:sz w:val="24"/>
          <w:szCs w:val="24"/>
          <w:lang w:val="en-US" w:eastAsia="zh-CN"/>
        </w:rPr>
        <w:t>先生</w:t>
      </w:r>
    </w:p>
    <w:p w14:paraId="312BF48A">
      <w:pPr>
        <w:pStyle w:val="16"/>
        <w:spacing w:line="340" w:lineRule="exact"/>
        <w:ind w:firstLine="480" w:firstLineChars="200"/>
        <w:rPr>
          <w:rFonts w:hint="default" w:ascii="宋体" w:hAnsi="宋体" w:eastAsia="宋体" w:cs="宋体"/>
          <w:color w:val="auto"/>
          <w:sz w:val="24"/>
          <w:szCs w:val="24"/>
        </w:rPr>
      </w:pPr>
      <w:r>
        <w:rPr>
          <w:rFonts w:ascii="宋体" w:hAnsi="宋体" w:eastAsia="宋体" w:cs="宋体"/>
          <w:color w:val="auto"/>
          <w:sz w:val="24"/>
          <w:szCs w:val="24"/>
        </w:rPr>
        <w:t>联系电话：0591-87713401</w:t>
      </w:r>
    </w:p>
    <w:p w14:paraId="414739D1">
      <w:pPr>
        <w:pStyle w:val="16"/>
        <w:keepNext w:val="0"/>
        <w:keepLines w:val="0"/>
        <w:pageBreakBefore w:val="0"/>
        <w:widowControl/>
        <w:kinsoku/>
        <w:wordWrap/>
        <w:overflowPunct/>
        <w:topLinePunct w:val="0"/>
        <w:autoSpaceDE/>
        <w:autoSpaceDN/>
        <w:bidi w:val="0"/>
        <w:adjustRightInd/>
        <w:snapToGrid/>
        <w:spacing w:line="360" w:lineRule="atLeast"/>
        <w:ind w:firstLine="482" w:firstLineChars="200"/>
        <w:textAlignment w:val="auto"/>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12、代理机构：</w:t>
      </w:r>
      <w:r>
        <w:rPr>
          <w:rFonts w:ascii="宋体" w:hAnsi="宋体" w:eastAsia="宋体" w:cs="宋体"/>
          <w:b/>
          <w:color w:val="auto"/>
          <w:sz w:val="24"/>
          <w:szCs w:val="24"/>
          <w:highlight w:val="none"/>
          <w:lang w:eastAsia="zh-CN"/>
        </w:rPr>
        <w:t>福建正燊招标代理有限公司</w:t>
      </w:r>
    </w:p>
    <w:p w14:paraId="523DA88F">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地址：福州市鼓楼区铜盘路466-5号大自然创意园5号楼3层</w:t>
      </w:r>
    </w:p>
    <w:p w14:paraId="42F6C7F0">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邮编：350003</w:t>
      </w:r>
    </w:p>
    <w:p w14:paraId="4F4E2B26">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联系人：刘晓岩、</w:t>
      </w:r>
      <w:r>
        <w:rPr>
          <w:rFonts w:hint="eastAsia" w:ascii="宋体" w:hAnsi="宋体" w:eastAsia="宋体" w:cs="宋体"/>
          <w:color w:val="auto"/>
          <w:sz w:val="24"/>
          <w:szCs w:val="24"/>
          <w:highlight w:val="none"/>
          <w:lang w:val="en-US" w:eastAsia="zh-CN"/>
        </w:rPr>
        <w:t>蓝玉芳</w:t>
      </w:r>
      <w:r>
        <w:rPr>
          <w:rFonts w:ascii="宋体" w:hAnsi="宋体" w:eastAsia="宋体" w:cs="宋体"/>
          <w:color w:val="auto"/>
          <w:sz w:val="24"/>
          <w:szCs w:val="24"/>
          <w:highlight w:val="none"/>
        </w:rPr>
        <w:t>、王超、杨婉婷</w:t>
      </w:r>
    </w:p>
    <w:p w14:paraId="104C12E9">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w:t>
      </w:r>
      <w:r>
        <w:rPr>
          <w:rFonts w:ascii="宋体" w:hAnsi="宋体" w:eastAsia="宋体" w:cs="宋体"/>
          <w:color w:val="auto"/>
          <w:sz w:val="24"/>
          <w:szCs w:val="24"/>
          <w:highlight w:val="none"/>
          <w:lang w:eastAsia="zh-CN"/>
        </w:rPr>
        <w:t>0591-87767885</w:t>
      </w:r>
    </w:p>
    <w:p w14:paraId="49CD83E4">
      <w:pPr>
        <w:pStyle w:val="16"/>
        <w:keepNext w:val="0"/>
        <w:keepLines w:val="0"/>
        <w:pageBreakBefore w:val="0"/>
        <w:widowControl/>
        <w:kinsoku/>
        <w:wordWrap/>
        <w:overflowPunct/>
        <w:topLinePunct w:val="0"/>
        <w:autoSpaceDE/>
        <w:autoSpaceDN/>
        <w:bidi w:val="0"/>
        <w:adjustRightInd/>
        <w:snapToGrid/>
        <w:spacing w:line="360" w:lineRule="atLeast"/>
        <w:ind w:firstLine="48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附1：账户信息</w:t>
      </w:r>
    </w:p>
    <w:tbl>
      <w:tblPr>
        <w:tblStyle w:val="11"/>
        <w:tblW w:w="4891" w:type="pct"/>
        <w:tblInd w:w="8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4"/>
      </w:tblGrid>
      <w:tr w14:paraId="4FE321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7" w:hRule="atLeast"/>
        </w:trPr>
        <w:tc>
          <w:tcPr>
            <w:tcW w:w="5000" w:type="pct"/>
            <w:vAlign w:val="center"/>
          </w:tcPr>
          <w:p w14:paraId="41D6F244">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投标保证金账户</w:t>
            </w:r>
          </w:p>
        </w:tc>
      </w:tr>
      <w:tr w14:paraId="58436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7" w:hRule="atLeast"/>
        </w:trPr>
        <w:tc>
          <w:tcPr>
            <w:tcW w:w="5000" w:type="pct"/>
            <w:vAlign w:val="center"/>
          </w:tcPr>
          <w:p w14:paraId="0E1D89D8">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开户名称：</w:t>
            </w:r>
            <w:r>
              <w:rPr>
                <w:rFonts w:ascii="宋体" w:hAnsi="宋体" w:eastAsia="宋体" w:cs="宋体"/>
                <w:color w:val="auto"/>
                <w:sz w:val="24"/>
                <w:szCs w:val="24"/>
                <w:highlight w:val="none"/>
                <w:lang w:eastAsia="zh-CN"/>
              </w:rPr>
              <w:t>福建正燊招标代理有限公司</w:t>
            </w:r>
          </w:p>
        </w:tc>
      </w:tr>
      <w:tr w14:paraId="74120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9" w:hRule="atLeast"/>
        </w:trPr>
        <w:tc>
          <w:tcPr>
            <w:tcW w:w="5000" w:type="pct"/>
            <w:vAlign w:val="center"/>
          </w:tcPr>
          <w:p w14:paraId="17DD18FA">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开户银行：供应商在福建省政府采购网上公开信息系统获取招标文件后，根据其提示自行选择要缴交的投标保证金托管银行。</w:t>
            </w:r>
          </w:p>
        </w:tc>
      </w:tr>
      <w:tr w14:paraId="0B8941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66" w:hRule="atLeast"/>
        </w:trPr>
        <w:tc>
          <w:tcPr>
            <w:tcW w:w="5000" w:type="pct"/>
            <w:vAlign w:val="center"/>
          </w:tcPr>
          <w:p w14:paraId="6D0BF5F1">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6444B6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2" w:hRule="atLeast"/>
        </w:trPr>
        <w:tc>
          <w:tcPr>
            <w:tcW w:w="5000" w:type="pct"/>
          </w:tcPr>
          <w:p w14:paraId="6727760D">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特别提示</w:t>
            </w:r>
          </w:p>
        </w:tc>
      </w:tr>
      <w:tr w14:paraId="4C587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vAlign w:val="center"/>
          </w:tcPr>
          <w:p w14:paraId="7B75CEEE">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1、投标人应认真核对账户信息，将投标保证金汇入以上账户，并自行承担因汇错投标保证金而产生的一切后果。</w:t>
            </w:r>
          </w:p>
          <w:p w14:paraId="31662467">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2、投标人在转账或电汇的凭证上应按照以下格式注明，以便核对：“（项目编号：***）的投标保证金”。</w:t>
            </w:r>
          </w:p>
        </w:tc>
      </w:tr>
    </w:tbl>
    <w:p w14:paraId="5ACDBA36">
      <w:pPr>
        <w:pStyle w:val="16"/>
        <w:keepNext w:val="0"/>
        <w:keepLines w:val="0"/>
        <w:pageBreakBefore w:val="0"/>
        <w:widowControl/>
        <w:kinsoku/>
        <w:wordWrap/>
        <w:overflowPunct/>
        <w:topLinePunct w:val="0"/>
        <w:autoSpaceDE/>
        <w:autoSpaceDN/>
        <w:bidi w:val="0"/>
        <w:adjustRightInd/>
        <w:snapToGrid/>
        <w:spacing w:line="330" w:lineRule="atLeast"/>
        <w:ind w:firstLine="480"/>
        <w:jc w:val="both"/>
        <w:textAlignment w:val="auto"/>
        <w:outlineLvl w:val="2"/>
        <w:rPr>
          <w:rFonts w:ascii="宋体" w:hAnsi="宋体" w:eastAsia="宋体" w:cs="宋体"/>
          <w:b/>
          <w:color w:val="auto"/>
          <w:sz w:val="24"/>
          <w:szCs w:val="24"/>
          <w:highlight w:val="none"/>
        </w:rPr>
      </w:pPr>
    </w:p>
    <w:p w14:paraId="3D9C63F7">
      <w:pPr>
        <w:pStyle w:val="16"/>
        <w:keepNext w:val="0"/>
        <w:keepLines w:val="0"/>
        <w:pageBreakBefore w:val="0"/>
        <w:widowControl/>
        <w:kinsoku/>
        <w:wordWrap/>
        <w:overflowPunct/>
        <w:topLinePunct w:val="0"/>
        <w:autoSpaceDE/>
        <w:autoSpaceDN/>
        <w:bidi w:val="0"/>
        <w:adjustRightInd/>
        <w:snapToGrid/>
        <w:spacing w:line="330" w:lineRule="atLeast"/>
        <w:ind w:firstLine="480"/>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附2：采购标的一览表</w:t>
      </w:r>
    </w:p>
    <w:p w14:paraId="541A6B07">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450E2204">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采购包预算金额（元）:</w:t>
      </w:r>
      <w:r>
        <w:rPr>
          <w:rFonts w:hint="eastAsia" w:ascii="宋体" w:hAnsi="宋体" w:eastAsia="宋体" w:cs="宋体"/>
          <w:color w:val="auto"/>
          <w:sz w:val="24"/>
          <w:szCs w:val="24"/>
          <w:highlight w:val="none"/>
          <w:lang w:val="en-US" w:eastAsia="zh-CN"/>
        </w:rPr>
        <w:t>9,000,000.00</w:t>
      </w:r>
      <w:r>
        <w:rPr>
          <w:rFonts w:ascii="宋体" w:hAnsi="宋体" w:eastAsia="宋体" w:cs="宋体"/>
          <w:color w:val="auto"/>
          <w:sz w:val="24"/>
          <w:szCs w:val="24"/>
          <w:highlight w:val="none"/>
          <w:lang w:val="en-US" w:eastAsia="zh-CN"/>
        </w:rPr>
        <w:t xml:space="preserve"> </w:t>
      </w:r>
    </w:p>
    <w:p w14:paraId="505D6541">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采购包最高限价（元）:</w:t>
      </w:r>
      <w:r>
        <w:rPr>
          <w:rFonts w:hint="eastAsia" w:ascii="宋体" w:hAnsi="宋体" w:eastAsia="宋体" w:cs="宋体"/>
          <w:color w:val="auto"/>
          <w:sz w:val="24"/>
          <w:szCs w:val="24"/>
          <w:highlight w:val="none"/>
          <w:lang w:val="en-US" w:eastAsia="zh-CN"/>
        </w:rPr>
        <w:t>9,000,000.00</w:t>
      </w:r>
      <w:r>
        <w:rPr>
          <w:rFonts w:ascii="宋体" w:hAnsi="宋体" w:eastAsia="宋体" w:cs="宋体"/>
          <w:color w:val="auto"/>
          <w:sz w:val="24"/>
          <w:szCs w:val="24"/>
          <w:highlight w:val="none"/>
          <w:lang w:val="en-US" w:eastAsia="zh-CN"/>
        </w:rPr>
        <w:t xml:space="preserve"> </w:t>
      </w:r>
    </w:p>
    <w:p w14:paraId="335B51B0">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采购包保证金金额（元）:</w:t>
      </w:r>
      <w:r>
        <w:rPr>
          <w:rFonts w:hint="eastAsia" w:ascii="宋体" w:hAnsi="宋体" w:eastAsia="宋体" w:cs="宋体"/>
          <w:color w:val="auto"/>
          <w:sz w:val="24"/>
          <w:szCs w:val="24"/>
          <w:highlight w:val="none"/>
          <w:lang w:val="en-US" w:eastAsia="zh-CN"/>
        </w:rPr>
        <w:t>90,000</w:t>
      </w:r>
      <w:r>
        <w:rPr>
          <w:rFonts w:ascii="宋体" w:hAnsi="宋体" w:eastAsia="宋体" w:cs="宋体"/>
          <w:color w:val="auto"/>
          <w:sz w:val="24"/>
          <w:szCs w:val="24"/>
          <w:highlight w:val="none"/>
        </w:rPr>
        <w:t>.00</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6"/>
        <w:gridCol w:w="1915"/>
        <w:gridCol w:w="832"/>
        <w:gridCol w:w="1829"/>
        <w:gridCol w:w="902"/>
        <w:gridCol w:w="1382"/>
        <w:gridCol w:w="1560"/>
      </w:tblGrid>
      <w:tr w14:paraId="7F8B6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6" w:type="dxa"/>
            <w:vAlign w:val="center"/>
          </w:tcPr>
          <w:p w14:paraId="1E07B3B0">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915" w:type="dxa"/>
            <w:vAlign w:val="center"/>
          </w:tcPr>
          <w:p w14:paraId="6CBFC734">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标的名称</w:t>
            </w:r>
          </w:p>
        </w:tc>
        <w:tc>
          <w:tcPr>
            <w:tcW w:w="832" w:type="dxa"/>
            <w:vAlign w:val="center"/>
          </w:tcPr>
          <w:p w14:paraId="5F7573CD">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数量</w:t>
            </w:r>
          </w:p>
        </w:tc>
        <w:tc>
          <w:tcPr>
            <w:tcW w:w="1829" w:type="dxa"/>
            <w:vAlign w:val="center"/>
          </w:tcPr>
          <w:p w14:paraId="2D90A7BA">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标的金额（元）</w:t>
            </w:r>
          </w:p>
        </w:tc>
        <w:tc>
          <w:tcPr>
            <w:tcW w:w="902" w:type="dxa"/>
            <w:vAlign w:val="center"/>
          </w:tcPr>
          <w:p w14:paraId="4673C4E3">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计量</w:t>
            </w:r>
          </w:p>
          <w:p w14:paraId="43941E86">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w:t>
            </w:r>
          </w:p>
        </w:tc>
        <w:tc>
          <w:tcPr>
            <w:tcW w:w="1382" w:type="dxa"/>
            <w:vAlign w:val="center"/>
          </w:tcPr>
          <w:p w14:paraId="5371567D">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所属</w:t>
            </w:r>
          </w:p>
          <w:p w14:paraId="4B7D6074">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行业</w:t>
            </w:r>
          </w:p>
        </w:tc>
        <w:tc>
          <w:tcPr>
            <w:tcW w:w="1560" w:type="dxa"/>
            <w:vAlign w:val="center"/>
          </w:tcPr>
          <w:p w14:paraId="4CC11712">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是否允许</w:t>
            </w:r>
          </w:p>
          <w:p w14:paraId="02C9F9A5">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进口产品</w:t>
            </w:r>
          </w:p>
        </w:tc>
      </w:tr>
      <w:tr w14:paraId="075D7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0" w:hRule="atLeast"/>
        </w:trPr>
        <w:tc>
          <w:tcPr>
            <w:tcW w:w="706" w:type="dxa"/>
            <w:vAlign w:val="center"/>
          </w:tcPr>
          <w:p w14:paraId="272B97D3">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915" w:type="dxa"/>
            <w:vAlign w:val="center"/>
          </w:tcPr>
          <w:p w14:paraId="47EA2EA1">
            <w:pPr>
              <w:pStyle w:val="16"/>
              <w:keepNext w:val="0"/>
              <w:keepLines w:val="0"/>
              <w:pageBreakBefore w:val="0"/>
              <w:widowControl/>
              <w:kinsoku/>
              <w:wordWrap/>
              <w:overflowPunct/>
              <w:topLinePunct w:val="0"/>
              <w:autoSpaceDE/>
              <w:autoSpaceDN/>
              <w:bidi w:val="0"/>
              <w:adjustRightInd/>
              <w:snapToGrid/>
              <w:spacing w:line="330" w:lineRule="atLeast"/>
              <w:jc w:val="lef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摇奖机采购项目</w:t>
            </w:r>
          </w:p>
        </w:tc>
        <w:tc>
          <w:tcPr>
            <w:tcW w:w="832" w:type="dxa"/>
            <w:vAlign w:val="center"/>
          </w:tcPr>
          <w:p w14:paraId="6A531998">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ascii="宋体" w:hAnsi="宋体" w:eastAsia="宋体" w:cs="宋体"/>
                <w:color w:val="auto"/>
                <w:sz w:val="24"/>
                <w:szCs w:val="24"/>
                <w:highlight w:val="none"/>
              </w:rPr>
              <w:t>.00</w:t>
            </w:r>
          </w:p>
        </w:tc>
        <w:tc>
          <w:tcPr>
            <w:tcW w:w="1829" w:type="dxa"/>
            <w:vAlign w:val="center"/>
          </w:tcPr>
          <w:p w14:paraId="5FE97A19">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9,000,000.00</w:t>
            </w:r>
          </w:p>
        </w:tc>
        <w:tc>
          <w:tcPr>
            <w:tcW w:w="902" w:type="dxa"/>
            <w:vAlign w:val="center"/>
          </w:tcPr>
          <w:p w14:paraId="27ED778D">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台</w:t>
            </w:r>
          </w:p>
        </w:tc>
        <w:tc>
          <w:tcPr>
            <w:tcW w:w="1382" w:type="dxa"/>
            <w:vAlign w:val="center"/>
          </w:tcPr>
          <w:p w14:paraId="6743FACD">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560" w:type="dxa"/>
            <w:vAlign w:val="center"/>
          </w:tcPr>
          <w:p w14:paraId="5207A8DA">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是</w:t>
            </w:r>
          </w:p>
        </w:tc>
      </w:tr>
    </w:tbl>
    <w:p w14:paraId="1364329E">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本国产品标准适用范围：</w:t>
      </w:r>
    </w:p>
    <w:p w14:paraId="37521136">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1"/>
        <w:tblW w:w="492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5"/>
        <w:gridCol w:w="2402"/>
        <w:gridCol w:w="2409"/>
        <w:gridCol w:w="3075"/>
      </w:tblGrid>
      <w:tr w14:paraId="6DD65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6" w:hRule="atLeast"/>
        </w:trPr>
        <w:tc>
          <w:tcPr>
            <w:tcW w:w="677" w:type="pct"/>
            <w:vAlign w:val="center"/>
          </w:tcPr>
          <w:p w14:paraId="5B329531">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316" w:type="pct"/>
            <w:vAlign w:val="center"/>
          </w:tcPr>
          <w:p w14:paraId="0301A515">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采购品目名称</w:t>
            </w:r>
          </w:p>
        </w:tc>
        <w:tc>
          <w:tcPr>
            <w:tcW w:w="1320" w:type="pct"/>
            <w:vAlign w:val="center"/>
          </w:tcPr>
          <w:p w14:paraId="73EED4FF">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标的名称</w:t>
            </w:r>
          </w:p>
        </w:tc>
        <w:tc>
          <w:tcPr>
            <w:tcW w:w="1685" w:type="pct"/>
            <w:vAlign w:val="center"/>
          </w:tcPr>
          <w:p w14:paraId="697FA0B3">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产品名称</w:t>
            </w:r>
          </w:p>
        </w:tc>
      </w:tr>
      <w:tr w14:paraId="5F7D7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0" w:hRule="atLeast"/>
        </w:trPr>
        <w:tc>
          <w:tcPr>
            <w:tcW w:w="677" w:type="pct"/>
            <w:vAlign w:val="center"/>
          </w:tcPr>
          <w:p w14:paraId="31EEBB20">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316" w:type="pct"/>
            <w:vAlign w:val="center"/>
          </w:tcPr>
          <w:p w14:paraId="7B4BB8C1">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其他机械设备</w:t>
            </w:r>
          </w:p>
        </w:tc>
        <w:tc>
          <w:tcPr>
            <w:tcW w:w="1320" w:type="pct"/>
            <w:vAlign w:val="center"/>
          </w:tcPr>
          <w:p w14:paraId="286CB078">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摇奖机采购项目</w:t>
            </w:r>
          </w:p>
        </w:tc>
        <w:tc>
          <w:tcPr>
            <w:tcW w:w="1685" w:type="pct"/>
            <w:vAlign w:val="center"/>
          </w:tcPr>
          <w:p w14:paraId="5980FE9C">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摇奖机采购项目</w:t>
            </w:r>
          </w:p>
        </w:tc>
      </w:tr>
    </w:tbl>
    <w:p w14:paraId="6828AA75">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176C8210">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（1）报价要求：</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2326"/>
        <w:gridCol w:w="840"/>
        <w:gridCol w:w="802"/>
        <w:gridCol w:w="1657"/>
        <w:gridCol w:w="1194"/>
        <w:gridCol w:w="1572"/>
      </w:tblGrid>
      <w:tr w14:paraId="0EC35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9" w:hRule="atLeast"/>
        </w:trPr>
        <w:tc>
          <w:tcPr>
            <w:tcW w:w="720" w:type="dxa"/>
            <w:vAlign w:val="center"/>
          </w:tcPr>
          <w:p w14:paraId="30559B7A">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326" w:type="dxa"/>
            <w:vAlign w:val="center"/>
          </w:tcPr>
          <w:p w14:paraId="2E74F16A">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报价内容</w:t>
            </w:r>
          </w:p>
        </w:tc>
        <w:tc>
          <w:tcPr>
            <w:tcW w:w="840" w:type="dxa"/>
            <w:vAlign w:val="center"/>
          </w:tcPr>
          <w:p w14:paraId="5E26CA34">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计量单位</w:t>
            </w:r>
          </w:p>
        </w:tc>
        <w:tc>
          <w:tcPr>
            <w:tcW w:w="802" w:type="dxa"/>
            <w:vAlign w:val="center"/>
          </w:tcPr>
          <w:p w14:paraId="750F405D">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报价单位</w:t>
            </w:r>
          </w:p>
        </w:tc>
        <w:tc>
          <w:tcPr>
            <w:tcW w:w="1657" w:type="dxa"/>
            <w:vAlign w:val="center"/>
          </w:tcPr>
          <w:p w14:paraId="44336DB3">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最高限价</w:t>
            </w:r>
          </w:p>
        </w:tc>
        <w:tc>
          <w:tcPr>
            <w:tcW w:w="1194" w:type="dxa"/>
            <w:vAlign w:val="center"/>
          </w:tcPr>
          <w:p w14:paraId="4E2CF1E8">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价款</w:t>
            </w:r>
          </w:p>
          <w:p w14:paraId="3157EC0C">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形式</w:t>
            </w:r>
          </w:p>
        </w:tc>
        <w:tc>
          <w:tcPr>
            <w:tcW w:w="1572" w:type="dxa"/>
            <w:vAlign w:val="center"/>
          </w:tcPr>
          <w:p w14:paraId="37CBEC93">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报价说明</w:t>
            </w:r>
          </w:p>
        </w:tc>
      </w:tr>
      <w:tr w14:paraId="09E52C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4" w:hRule="atLeast"/>
        </w:trPr>
        <w:tc>
          <w:tcPr>
            <w:tcW w:w="720" w:type="dxa"/>
            <w:vAlign w:val="center"/>
          </w:tcPr>
          <w:p w14:paraId="322116F0">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326" w:type="dxa"/>
            <w:vAlign w:val="center"/>
          </w:tcPr>
          <w:p w14:paraId="617F50EA">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摇奖机采购项目</w:t>
            </w:r>
          </w:p>
        </w:tc>
        <w:tc>
          <w:tcPr>
            <w:tcW w:w="840" w:type="dxa"/>
            <w:vAlign w:val="center"/>
          </w:tcPr>
          <w:p w14:paraId="7BCB9D39">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台</w:t>
            </w:r>
          </w:p>
        </w:tc>
        <w:tc>
          <w:tcPr>
            <w:tcW w:w="802" w:type="dxa"/>
            <w:vAlign w:val="center"/>
          </w:tcPr>
          <w:p w14:paraId="00FA4EE1">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元</w:t>
            </w:r>
          </w:p>
        </w:tc>
        <w:tc>
          <w:tcPr>
            <w:tcW w:w="1657" w:type="dxa"/>
            <w:vAlign w:val="center"/>
          </w:tcPr>
          <w:p w14:paraId="423B0BCE">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9,000,000.00</w:t>
            </w:r>
          </w:p>
        </w:tc>
        <w:tc>
          <w:tcPr>
            <w:tcW w:w="1194" w:type="dxa"/>
            <w:vAlign w:val="center"/>
          </w:tcPr>
          <w:p w14:paraId="319F5A7E">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572" w:type="dxa"/>
            <w:vAlign w:val="center"/>
          </w:tcPr>
          <w:p w14:paraId="2F23E834">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bl>
    <w:p w14:paraId="3E504970">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14:paraId="3D0CE98A">
      <w:pPr>
        <w:pStyle w:val="16"/>
        <w:keepNext w:val="0"/>
        <w:keepLines w:val="0"/>
        <w:pageBreakBefore w:val="0"/>
        <w:widowControl/>
        <w:kinsoku/>
        <w:wordWrap/>
        <w:overflowPunct/>
        <w:topLinePunct w:val="0"/>
        <w:autoSpaceDE/>
        <w:autoSpaceDN/>
        <w:bidi w:val="0"/>
        <w:adjustRightInd/>
        <w:snapToGrid/>
        <w:spacing w:line="33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摇奖机采购项目</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7"/>
        <w:gridCol w:w="1404"/>
        <w:gridCol w:w="1615"/>
        <w:gridCol w:w="808"/>
        <w:gridCol w:w="788"/>
        <w:gridCol w:w="1712"/>
        <w:gridCol w:w="788"/>
        <w:gridCol w:w="1289"/>
      </w:tblGrid>
      <w:tr w14:paraId="77AEA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0" w:hRule="atLeast"/>
        </w:trPr>
        <w:tc>
          <w:tcPr>
            <w:tcW w:w="717" w:type="dxa"/>
            <w:vAlign w:val="center"/>
          </w:tcPr>
          <w:p w14:paraId="526DF16A">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404" w:type="dxa"/>
            <w:vAlign w:val="center"/>
          </w:tcPr>
          <w:p w14:paraId="3BD71687">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w:t>
            </w:r>
            <w:r>
              <w:rPr>
                <w:rFonts w:hint="eastAsia" w:ascii="宋体" w:hAnsi="宋体" w:eastAsia="宋体" w:cs="宋体"/>
                <w:color w:val="auto"/>
                <w:sz w:val="24"/>
                <w:szCs w:val="24"/>
                <w:highlight w:val="none"/>
                <w:lang w:val="en-US" w:eastAsia="zh-CN"/>
              </w:rPr>
              <w:t>明细</w:t>
            </w:r>
            <w:r>
              <w:rPr>
                <w:rFonts w:ascii="宋体" w:hAnsi="宋体" w:eastAsia="宋体" w:cs="宋体"/>
                <w:color w:val="auto"/>
                <w:sz w:val="24"/>
                <w:szCs w:val="24"/>
                <w:highlight w:val="none"/>
              </w:rPr>
              <w:t>内容</w:t>
            </w:r>
          </w:p>
        </w:tc>
        <w:tc>
          <w:tcPr>
            <w:tcW w:w="1615" w:type="dxa"/>
            <w:vAlign w:val="center"/>
          </w:tcPr>
          <w:p w14:paraId="1DCD8512">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 xml:space="preserve">报价要求 </w:t>
            </w:r>
          </w:p>
        </w:tc>
        <w:tc>
          <w:tcPr>
            <w:tcW w:w="808" w:type="dxa"/>
            <w:vAlign w:val="center"/>
          </w:tcPr>
          <w:p w14:paraId="05FF27B2">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计量</w:t>
            </w:r>
          </w:p>
          <w:p w14:paraId="6C10CFCE">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w:t>
            </w:r>
          </w:p>
        </w:tc>
        <w:tc>
          <w:tcPr>
            <w:tcW w:w="788" w:type="dxa"/>
            <w:vAlign w:val="center"/>
          </w:tcPr>
          <w:p w14:paraId="430D0223">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报价</w:t>
            </w:r>
          </w:p>
          <w:p w14:paraId="03213A30">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w:t>
            </w:r>
          </w:p>
        </w:tc>
        <w:tc>
          <w:tcPr>
            <w:tcW w:w="1712" w:type="dxa"/>
            <w:vAlign w:val="center"/>
          </w:tcPr>
          <w:p w14:paraId="132BEE12">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最高限价</w:t>
            </w:r>
          </w:p>
        </w:tc>
        <w:tc>
          <w:tcPr>
            <w:tcW w:w="788" w:type="dxa"/>
            <w:vAlign w:val="center"/>
          </w:tcPr>
          <w:p w14:paraId="6093F398">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价款</w:t>
            </w:r>
          </w:p>
          <w:p w14:paraId="1C1748E0">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形式</w:t>
            </w:r>
          </w:p>
        </w:tc>
        <w:tc>
          <w:tcPr>
            <w:tcW w:w="1289" w:type="dxa"/>
            <w:vAlign w:val="center"/>
          </w:tcPr>
          <w:p w14:paraId="5E92A9F7">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报价说明</w:t>
            </w:r>
          </w:p>
        </w:tc>
      </w:tr>
      <w:tr w14:paraId="2D867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29" w:hRule="atLeast"/>
        </w:trPr>
        <w:tc>
          <w:tcPr>
            <w:tcW w:w="717" w:type="dxa"/>
            <w:vAlign w:val="center"/>
          </w:tcPr>
          <w:p w14:paraId="314CC16E">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404" w:type="dxa"/>
            <w:vAlign w:val="center"/>
          </w:tcPr>
          <w:p w14:paraId="4E41998A">
            <w:pPr>
              <w:pStyle w:val="16"/>
              <w:keepNext w:val="0"/>
              <w:keepLines w:val="0"/>
              <w:pageBreakBefore w:val="0"/>
              <w:widowControl/>
              <w:kinsoku/>
              <w:wordWrap/>
              <w:overflowPunct/>
              <w:topLinePunct w:val="0"/>
              <w:autoSpaceDE/>
              <w:autoSpaceDN/>
              <w:bidi w:val="0"/>
              <w:adjustRightInd/>
              <w:snapToGrid/>
              <w:spacing w:line="330" w:lineRule="atLeast"/>
              <w:jc w:val="lef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摇奖机采购项目</w:t>
            </w:r>
          </w:p>
        </w:tc>
        <w:tc>
          <w:tcPr>
            <w:tcW w:w="1615" w:type="dxa"/>
            <w:vAlign w:val="center"/>
          </w:tcPr>
          <w:p w14:paraId="15CB4D50">
            <w:pPr>
              <w:pStyle w:val="16"/>
              <w:keepNext w:val="0"/>
              <w:keepLines w:val="0"/>
              <w:pageBreakBefore w:val="0"/>
              <w:widowControl/>
              <w:kinsoku/>
              <w:wordWrap/>
              <w:overflowPunct/>
              <w:topLinePunct w:val="0"/>
              <w:autoSpaceDE/>
              <w:autoSpaceDN/>
              <w:bidi w:val="0"/>
              <w:adjustRightInd/>
              <w:snapToGrid/>
              <w:spacing w:line="330" w:lineRule="atLeas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摇奖机采购项目 </w:t>
            </w:r>
          </w:p>
        </w:tc>
        <w:tc>
          <w:tcPr>
            <w:tcW w:w="808" w:type="dxa"/>
            <w:vAlign w:val="center"/>
          </w:tcPr>
          <w:p w14:paraId="2DE05066">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台</w:t>
            </w:r>
          </w:p>
        </w:tc>
        <w:tc>
          <w:tcPr>
            <w:tcW w:w="788" w:type="dxa"/>
            <w:vAlign w:val="center"/>
          </w:tcPr>
          <w:p w14:paraId="2EFDE988">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元</w:t>
            </w:r>
          </w:p>
        </w:tc>
        <w:tc>
          <w:tcPr>
            <w:tcW w:w="1712" w:type="dxa"/>
            <w:vAlign w:val="center"/>
          </w:tcPr>
          <w:p w14:paraId="2E9C16E4">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9,000,000.00</w:t>
            </w:r>
          </w:p>
        </w:tc>
        <w:tc>
          <w:tcPr>
            <w:tcW w:w="788" w:type="dxa"/>
            <w:vAlign w:val="center"/>
          </w:tcPr>
          <w:p w14:paraId="2407E5FD">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289" w:type="dxa"/>
            <w:vAlign w:val="center"/>
          </w:tcPr>
          <w:p w14:paraId="517E1720">
            <w:pPr>
              <w:pStyle w:val="16"/>
              <w:keepNext w:val="0"/>
              <w:keepLines w:val="0"/>
              <w:pageBreakBefore w:val="0"/>
              <w:widowControl/>
              <w:kinsoku/>
              <w:wordWrap/>
              <w:overflowPunct/>
              <w:topLinePunct w:val="0"/>
              <w:autoSpaceDE/>
              <w:autoSpaceDN/>
              <w:bidi w:val="0"/>
              <w:adjustRightInd/>
              <w:snapToGrid/>
              <w:spacing w:line="33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bl>
    <w:p w14:paraId="0851413A">
      <w:pPr>
        <w:pStyle w:val="16"/>
        <w:jc w:val="both"/>
        <w:outlineLvl w:val="1"/>
        <w:rPr>
          <w:rFonts w:ascii="宋体" w:hAnsi="宋体" w:eastAsia="宋体" w:cs="宋体"/>
          <w:b/>
          <w:color w:val="auto"/>
          <w:sz w:val="32"/>
          <w:szCs w:val="32"/>
          <w:highlight w:val="none"/>
        </w:rPr>
        <w:sectPr>
          <w:footerReference r:id="rId7" w:type="default"/>
          <w:pgSz w:w="11906" w:h="16838"/>
          <w:pgMar w:top="1440" w:right="1517" w:bottom="1440" w:left="1349" w:header="851" w:footer="992" w:gutter="0"/>
          <w:pgNumType w:fmt="decimal" w:start="1"/>
          <w:cols w:space="425" w:num="1"/>
          <w:docGrid w:type="lines" w:linePitch="312" w:charSpace="0"/>
        </w:sectPr>
      </w:pPr>
    </w:p>
    <w:p w14:paraId="0C7AFE4F">
      <w:pPr>
        <w:pStyle w:val="16"/>
        <w:jc w:val="center"/>
        <w:outlineLvl w:val="1"/>
        <w:rPr>
          <w:rFonts w:hint="default" w:ascii="宋体" w:hAnsi="宋体" w:eastAsia="宋体" w:cs="宋体"/>
          <w:color w:val="auto"/>
          <w:sz w:val="32"/>
          <w:szCs w:val="32"/>
          <w:highlight w:val="none"/>
        </w:rPr>
      </w:pPr>
      <w:r>
        <w:rPr>
          <w:rFonts w:ascii="宋体" w:hAnsi="宋体" w:eastAsia="宋体" w:cs="宋体"/>
          <w:b/>
          <w:color w:val="auto"/>
          <w:sz w:val="32"/>
          <w:szCs w:val="32"/>
          <w:highlight w:val="none"/>
        </w:rPr>
        <w:t>第二章 投标人须知前附表</w:t>
      </w:r>
    </w:p>
    <w:p w14:paraId="4567166E">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一、投标人须知前附表1</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4"/>
        <w:gridCol w:w="1334"/>
        <w:gridCol w:w="6823"/>
      </w:tblGrid>
      <w:tr w14:paraId="05EADD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0" w:hRule="atLeast"/>
        </w:trPr>
        <w:tc>
          <w:tcPr>
            <w:tcW w:w="8901" w:type="dxa"/>
            <w:gridSpan w:val="3"/>
            <w:vAlign w:val="center"/>
          </w:tcPr>
          <w:p w14:paraId="62F27C54">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特别提示：本表与招标文件对应章节的内容若不一致，以本表为准。</w:t>
            </w:r>
          </w:p>
        </w:tc>
      </w:tr>
      <w:tr w14:paraId="414BA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44626E39">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334" w:type="dxa"/>
            <w:vAlign w:val="center"/>
          </w:tcPr>
          <w:p w14:paraId="34F57E6E">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招标文件</w:t>
            </w:r>
          </w:p>
          <w:p w14:paraId="395AB4E4">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（第三章）</w:t>
            </w:r>
          </w:p>
        </w:tc>
        <w:tc>
          <w:tcPr>
            <w:tcW w:w="6823" w:type="dxa"/>
            <w:vAlign w:val="center"/>
          </w:tcPr>
          <w:p w14:paraId="5A096A23">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编列内容</w:t>
            </w:r>
          </w:p>
        </w:tc>
      </w:tr>
      <w:tr w14:paraId="2293D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trPr>
        <w:tc>
          <w:tcPr>
            <w:tcW w:w="744" w:type="dxa"/>
            <w:vAlign w:val="center"/>
          </w:tcPr>
          <w:p w14:paraId="6E957450">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334" w:type="dxa"/>
            <w:vAlign w:val="center"/>
          </w:tcPr>
          <w:p w14:paraId="355F5F7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w:t>
            </w:r>
          </w:p>
        </w:tc>
        <w:tc>
          <w:tcPr>
            <w:tcW w:w="6823" w:type="dxa"/>
            <w:vAlign w:val="center"/>
          </w:tcPr>
          <w:p w14:paraId="132CB056">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是否组织现场考察或召开开标前答疑会：</w:t>
            </w:r>
          </w:p>
          <w:p w14:paraId="1B27FE5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采购包1：不组织</w:t>
            </w:r>
          </w:p>
        </w:tc>
      </w:tr>
      <w:tr w14:paraId="29E694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277DFE44">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334" w:type="dxa"/>
            <w:vAlign w:val="center"/>
          </w:tcPr>
          <w:p w14:paraId="0EE90257">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10.4</w:t>
            </w:r>
          </w:p>
        </w:tc>
        <w:tc>
          <w:tcPr>
            <w:tcW w:w="6823" w:type="dxa"/>
            <w:vAlign w:val="center"/>
          </w:tcPr>
          <w:p w14:paraId="59432D9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投标文件的份数：</w:t>
            </w:r>
          </w:p>
          <w:p w14:paraId="5D77962D">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（1）可读介质（光盘或U盘）0份：投标人应将其上传至福建省政府采购网上公开信息系统的电子投标文件在该可读介质中另存0份。</w:t>
            </w:r>
          </w:p>
          <w:p w14:paraId="53A3661B">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（2）电子投标文件：详见投标人须知前附表2《关于电子招标投标活动的专门规定》。</w:t>
            </w:r>
          </w:p>
        </w:tc>
      </w:tr>
      <w:tr w14:paraId="65926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6079C468">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334" w:type="dxa"/>
            <w:vAlign w:val="center"/>
          </w:tcPr>
          <w:p w14:paraId="3F04188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10.7-（1）</w:t>
            </w:r>
          </w:p>
        </w:tc>
        <w:tc>
          <w:tcPr>
            <w:tcW w:w="6823" w:type="dxa"/>
            <w:vAlign w:val="center"/>
          </w:tcPr>
          <w:p w14:paraId="44E2B724">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是否允许中标人将本项目的非主体、非关键性工作进行分包：</w:t>
            </w:r>
          </w:p>
          <w:p w14:paraId="2A471A99">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采购包1：不允许合同分包；</w:t>
            </w:r>
          </w:p>
        </w:tc>
      </w:tr>
      <w:tr w14:paraId="28370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0" w:hRule="atLeast"/>
        </w:trPr>
        <w:tc>
          <w:tcPr>
            <w:tcW w:w="744" w:type="dxa"/>
            <w:vAlign w:val="center"/>
          </w:tcPr>
          <w:p w14:paraId="04649DDD">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1334" w:type="dxa"/>
            <w:vAlign w:val="center"/>
          </w:tcPr>
          <w:p w14:paraId="27E2F11C">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10.8-（1）</w:t>
            </w:r>
          </w:p>
        </w:tc>
        <w:tc>
          <w:tcPr>
            <w:tcW w:w="6823" w:type="dxa"/>
            <w:vAlign w:val="center"/>
          </w:tcPr>
          <w:p w14:paraId="059073A9">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投标有效期：投标截止时间起90个日历日。</w:t>
            </w:r>
          </w:p>
        </w:tc>
      </w:tr>
      <w:tr w14:paraId="58F633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69595917">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1334" w:type="dxa"/>
            <w:vAlign w:val="center"/>
          </w:tcPr>
          <w:p w14:paraId="5CEDBFCA">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12.1</w:t>
            </w:r>
          </w:p>
        </w:tc>
        <w:tc>
          <w:tcPr>
            <w:tcW w:w="6823" w:type="dxa"/>
            <w:vAlign w:val="center"/>
          </w:tcPr>
          <w:p w14:paraId="4EE425B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确定中标候选人名单：</w:t>
            </w:r>
          </w:p>
          <w:p w14:paraId="217F10EC">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采购包1：1名</w:t>
            </w:r>
          </w:p>
        </w:tc>
      </w:tr>
      <w:tr w14:paraId="0A8E3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48313AD2">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1334" w:type="dxa"/>
            <w:vAlign w:val="center"/>
          </w:tcPr>
          <w:p w14:paraId="53217DDF">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12.2</w:t>
            </w:r>
          </w:p>
        </w:tc>
        <w:tc>
          <w:tcPr>
            <w:tcW w:w="6823" w:type="dxa"/>
            <w:vAlign w:val="center"/>
          </w:tcPr>
          <w:p w14:paraId="19AB946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本项目中标人的确定（以采购包为单位）：</w:t>
            </w:r>
          </w:p>
          <w:p w14:paraId="3F11D255">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 采购人应在政府采购招投标管理办法规定的时限内确定中标人。</w:t>
            </w:r>
          </w:p>
          <w:p w14:paraId="5FC2DE8B">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（2）若出现中标候选人并列情形，则按照下列方式确定中标人：</w:t>
            </w:r>
          </w:p>
          <w:p w14:paraId="47FE8FC0">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①招标文件规定的方式：</w:t>
            </w:r>
            <w:r>
              <w:rPr>
                <w:rFonts w:ascii="宋体" w:hAnsi="宋体" w:eastAsia="宋体" w:cs="宋体"/>
                <w:color w:val="auto"/>
                <w:sz w:val="24"/>
                <w:szCs w:val="24"/>
                <w:highlight w:val="none"/>
                <w:lang w:eastAsia="zh-CN"/>
              </w:rPr>
              <w:t>评审得分相同的，则按“技术部分”的得分高低排序；若投标人的评审得分相同且技术部分得分也相同的，则按“商务部分”的得分高低排序；若评审得分相同且技术部分与商务部分得分也相同的，则按“价格部分”的得分高低排序；若评审得分相同、技术部分得分相同且商务部分得分与价格部分得分也相同的，则采取随机抽取方式确定,其他同品牌投标人不作为中标候选人。</w:t>
            </w:r>
          </w:p>
          <w:p w14:paraId="2020A439">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②若本款第①点规定方式为“无”，则按照下列方式确定：</w:t>
            </w:r>
          </w:p>
          <w:p w14:paraId="2A284AD7">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随机抽取</w:t>
            </w:r>
            <w:r>
              <w:rPr>
                <w:rFonts w:hint="eastAsia" w:ascii="宋体" w:hAnsi="宋体" w:eastAsia="宋体" w:cs="宋体"/>
                <w:color w:val="auto"/>
                <w:sz w:val="24"/>
                <w:szCs w:val="24"/>
                <w:highlight w:val="none"/>
                <w:lang w:eastAsia="zh-CN"/>
              </w:rPr>
              <w:t>。</w:t>
            </w:r>
          </w:p>
          <w:p w14:paraId="3E6810A8">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③若本款第①、②点规定方式均为“无”，则按照下列方式确定：随机抽取。</w:t>
            </w:r>
          </w:p>
          <w:p w14:paraId="1ACFE462">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（3）本项目确定的中标人家数：</w:t>
            </w:r>
          </w:p>
          <w:p w14:paraId="2CCA6D58">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采购包1：1名</w:t>
            </w:r>
          </w:p>
        </w:tc>
      </w:tr>
      <w:tr w14:paraId="2A455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5" w:hRule="atLeast"/>
        </w:trPr>
        <w:tc>
          <w:tcPr>
            <w:tcW w:w="744" w:type="dxa"/>
            <w:vAlign w:val="center"/>
          </w:tcPr>
          <w:p w14:paraId="16AAB0AA">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1334" w:type="dxa"/>
            <w:vAlign w:val="center"/>
          </w:tcPr>
          <w:p w14:paraId="23B1461C">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13.2</w:t>
            </w:r>
          </w:p>
        </w:tc>
        <w:tc>
          <w:tcPr>
            <w:tcW w:w="6823" w:type="dxa"/>
            <w:vAlign w:val="center"/>
          </w:tcPr>
          <w:p w14:paraId="20EC55EA">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合同签订时限：自中标通知书发出之日起30个日历日内。</w:t>
            </w:r>
          </w:p>
        </w:tc>
      </w:tr>
      <w:tr w14:paraId="52F64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0" w:hRule="atLeast"/>
        </w:trPr>
        <w:tc>
          <w:tcPr>
            <w:tcW w:w="744" w:type="dxa"/>
            <w:vAlign w:val="center"/>
          </w:tcPr>
          <w:p w14:paraId="35E43300">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1334" w:type="dxa"/>
            <w:vAlign w:val="center"/>
          </w:tcPr>
          <w:p w14:paraId="549CBFC8">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15.1-（2）</w:t>
            </w:r>
          </w:p>
        </w:tc>
        <w:tc>
          <w:tcPr>
            <w:tcW w:w="6823" w:type="dxa"/>
            <w:vAlign w:val="center"/>
          </w:tcPr>
          <w:p w14:paraId="085D643B">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质疑函原件应采用下列方式提交：书面形式。</w:t>
            </w:r>
          </w:p>
        </w:tc>
      </w:tr>
      <w:tr w14:paraId="165EEC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10694B1F">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w:t>
            </w:r>
          </w:p>
        </w:tc>
        <w:tc>
          <w:tcPr>
            <w:tcW w:w="1334" w:type="dxa"/>
            <w:vAlign w:val="center"/>
          </w:tcPr>
          <w:p w14:paraId="77BF542F">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15.4</w:t>
            </w:r>
          </w:p>
        </w:tc>
        <w:tc>
          <w:tcPr>
            <w:tcW w:w="6823" w:type="dxa"/>
            <w:vAlign w:val="center"/>
          </w:tcPr>
          <w:p w14:paraId="4F29BD02">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招标文件的质疑</w:t>
            </w:r>
          </w:p>
          <w:p w14:paraId="2DF3EC67">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（1）潜在投标人可在质疑时效期间内对招标文件以书面形式提出质疑。</w:t>
            </w:r>
          </w:p>
          <w:p w14:paraId="71BCF35B">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（2）质疑时效期间：应在依法获取招标文件之日起7个工作日内向</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提出，依法获取招标文件的时间以福建省政府采购网上公开信息系统记载的为准。</w:t>
            </w:r>
          </w:p>
          <w:p w14:paraId="37B16ECA">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※除上述规定外，对招标文件提出的质疑还应符合招标文件第三章第15.1条的有关规定。</w:t>
            </w:r>
          </w:p>
        </w:tc>
      </w:tr>
      <w:tr w14:paraId="74F5B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7FADA046">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w:t>
            </w:r>
          </w:p>
        </w:tc>
        <w:tc>
          <w:tcPr>
            <w:tcW w:w="1334" w:type="dxa"/>
            <w:vAlign w:val="center"/>
          </w:tcPr>
          <w:p w14:paraId="7CFB68D9">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16.1</w:t>
            </w:r>
          </w:p>
        </w:tc>
        <w:tc>
          <w:tcPr>
            <w:tcW w:w="6823" w:type="dxa"/>
            <w:vAlign w:val="center"/>
          </w:tcPr>
          <w:p w14:paraId="55EE4510">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监督管理部门：</w:t>
            </w:r>
            <w:r>
              <w:rPr>
                <w:rFonts w:hint="eastAsia" w:ascii="宋体" w:hAnsi="宋体" w:eastAsia="宋体" w:cs="宋体"/>
                <w:color w:val="auto"/>
                <w:sz w:val="24"/>
                <w:szCs w:val="24"/>
                <w:highlight w:val="none"/>
              </w:rPr>
              <w:t>福建省财政厅政府采购监督管理办公室（仅限依法进行政府采购的货物或服务类项目）</w:t>
            </w:r>
          </w:p>
        </w:tc>
      </w:tr>
      <w:tr w14:paraId="333CFB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426F14AA">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w:t>
            </w:r>
          </w:p>
        </w:tc>
        <w:tc>
          <w:tcPr>
            <w:tcW w:w="1334" w:type="dxa"/>
            <w:vAlign w:val="center"/>
          </w:tcPr>
          <w:p w14:paraId="67186D44">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18.1</w:t>
            </w:r>
          </w:p>
        </w:tc>
        <w:tc>
          <w:tcPr>
            <w:tcW w:w="6823" w:type="dxa"/>
            <w:vAlign w:val="center"/>
          </w:tcPr>
          <w:p w14:paraId="130021BD">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财政部和福建省财政厅指定的政府采购信息发布媒体（以下简称：“指定媒体”）：</w:t>
            </w:r>
          </w:p>
          <w:p w14:paraId="17F313FD">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（1）中国政府采购网，网址www.ccgp.gov.cn。</w:t>
            </w:r>
          </w:p>
          <w:p w14:paraId="619F67AA">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（2）中国政府采购网福建分网（福建省政府采购网），网址zfcg.czt.fujian.gov.cn。</w:t>
            </w:r>
          </w:p>
          <w:p w14:paraId="2F8B3177">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※若出现上述指定媒体信息不一致情形，应以中国政府采购网福建分网（福建省政府采购网）发布的为准。</w:t>
            </w:r>
          </w:p>
        </w:tc>
      </w:tr>
      <w:tr w14:paraId="60F27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 w:hRule="atLeast"/>
        </w:trPr>
        <w:tc>
          <w:tcPr>
            <w:tcW w:w="744" w:type="dxa"/>
            <w:vAlign w:val="center"/>
          </w:tcPr>
          <w:p w14:paraId="132DA905">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w:t>
            </w:r>
          </w:p>
        </w:tc>
        <w:tc>
          <w:tcPr>
            <w:tcW w:w="1334" w:type="dxa"/>
            <w:vAlign w:val="center"/>
          </w:tcPr>
          <w:p w14:paraId="030480C0">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19</w:t>
            </w:r>
          </w:p>
        </w:tc>
        <w:tc>
          <w:tcPr>
            <w:tcW w:w="6823" w:type="dxa"/>
            <w:vAlign w:val="center"/>
          </w:tcPr>
          <w:p w14:paraId="6F94FCF4">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其他事项：</w:t>
            </w:r>
          </w:p>
          <w:p w14:paraId="65F0842E">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(1)本项目代理服务费：</w:t>
            </w:r>
          </w:p>
          <w:p w14:paraId="52CE3A47">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本项目收取代理服务费</w:t>
            </w:r>
          </w:p>
          <w:p w14:paraId="05226D2A">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bCs/>
                <w:color w:val="auto"/>
                <w:sz w:val="24"/>
                <w:szCs w:val="24"/>
                <w:highlight w:val="none"/>
                <w:lang w:eastAsia="zh-CN"/>
              </w:rPr>
            </w:pPr>
            <w:r>
              <w:rPr>
                <w:rFonts w:ascii="宋体" w:hAnsi="宋体" w:eastAsia="宋体" w:cs="宋体"/>
                <w:bCs/>
                <w:color w:val="auto"/>
                <w:sz w:val="24"/>
                <w:szCs w:val="24"/>
                <w:highlight w:val="none"/>
              </w:rPr>
              <w:t>代理服务费用收取对象：中标/</w:t>
            </w:r>
            <w:r>
              <w:rPr>
                <w:rFonts w:ascii="宋体" w:hAnsi="宋体" w:eastAsia="宋体" w:cs="宋体"/>
                <w:bCs/>
                <w:color w:val="auto"/>
                <w:sz w:val="24"/>
                <w:szCs w:val="24"/>
                <w:highlight w:val="none"/>
                <w:lang w:eastAsia="zh-CN"/>
              </w:rPr>
              <w:t>成交供应商</w:t>
            </w:r>
          </w:p>
          <w:p w14:paraId="48B3C304">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bCs/>
                <w:color w:val="auto"/>
                <w:sz w:val="24"/>
                <w:szCs w:val="24"/>
                <w:highlight w:val="none"/>
                <w:lang w:eastAsia="zh-CN"/>
              </w:rPr>
            </w:pPr>
            <w:r>
              <w:rPr>
                <w:rFonts w:ascii="宋体" w:hAnsi="宋体" w:eastAsia="宋体" w:cs="宋体"/>
                <w:bCs/>
                <w:color w:val="auto"/>
                <w:sz w:val="24"/>
                <w:szCs w:val="24"/>
                <w:highlight w:val="none"/>
              </w:rPr>
              <w:t>代理服务费收费标准：①本项目</w:t>
            </w:r>
            <w:r>
              <w:rPr>
                <w:rFonts w:hint="eastAsia" w:ascii="宋体" w:hAnsi="宋体" w:eastAsia="宋体" w:cs="宋体"/>
                <w:bCs/>
                <w:color w:val="auto"/>
                <w:sz w:val="24"/>
                <w:szCs w:val="24"/>
                <w:highlight w:val="none"/>
                <w:lang w:val="en-US" w:eastAsia="zh-CN"/>
              </w:rPr>
              <w:t>采购包</w:t>
            </w:r>
            <w:r>
              <w:rPr>
                <w:rFonts w:ascii="宋体" w:hAnsi="宋体" w:eastAsia="宋体" w:cs="宋体"/>
                <w:bCs/>
                <w:color w:val="auto"/>
                <w:sz w:val="24"/>
                <w:szCs w:val="24"/>
                <w:highlight w:val="none"/>
              </w:rPr>
              <w:t>代理费用以</w:t>
            </w:r>
            <w:r>
              <w:rPr>
                <w:rFonts w:ascii="宋体" w:hAnsi="宋体" w:eastAsia="宋体" w:cs="宋体"/>
                <w:bCs/>
                <w:color w:val="auto"/>
                <w:sz w:val="24"/>
                <w:szCs w:val="24"/>
                <w:highlight w:val="none"/>
                <w:lang w:eastAsia="zh-CN"/>
              </w:rPr>
              <w:t>中标</w:t>
            </w:r>
            <w:r>
              <w:rPr>
                <w:rFonts w:ascii="宋体" w:hAnsi="宋体" w:eastAsia="宋体" w:cs="宋体"/>
                <w:bCs/>
                <w:color w:val="auto"/>
                <w:sz w:val="24"/>
                <w:szCs w:val="24"/>
                <w:highlight w:val="none"/>
              </w:rPr>
              <w:t>金额规定作为收费的计算基数，按差额定率累进法计算，标准如下：</w:t>
            </w:r>
            <w:r>
              <w:rPr>
                <w:rFonts w:hint="eastAsia" w:ascii="宋体" w:hAnsi="宋体" w:eastAsia="宋体" w:cs="宋体"/>
                <w:color w:val="auto"/>
                <w:sz w:val="24"/>
                <w:szCs w:val="24"/>
                <w:highlight w:val="none"/>
              </w:rPr>
              <w:t>100(万元)以下收费费率标准:1.5%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100－500(万元)收费费率标准:1.1％；500</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1000(万元)收费费率标准:0.8％</w:t>
            </w:r>
            <w:r>
              <w:rPr>
                <w:rFonts w:hint="eastAsia" w:ascii="宋体" w:hAnsi="宋体" w:eastAsia="宋体" w:cs="宋体"/>
                <w:color w:val="auto"/>
                <w:sz w:val="24"/>
                <w:szCs w:val="24"/>
                <w:highlight w:val="none"/>
                <w:lang w:eastAsia="zh-CN"/>
              </w:rPr>
              <w:t>。</w:t>
            </w:r>
            <w:r>
              <w:rPr>
                <w:rFonts w:ascii="宋体" w:hAnsi="宋体" w:eastAsia="宋体" w:cs="宋体"/>
                <w:bCs/>
                <w:color w:val="auto"/>
                <w:sz w:val="24"/>
                <w:szCs w:val="24"/>
                <w:highlight w:val="none"/>
              </w:rPr>
              <w:t>②中标人以现金、转</w:t>
            </w:r>
            <w:r>
              <w:rPr>
                <w:rFonts w:ascii="宋体" w:hAnsi="宋体" w:eastAsia="宋体" w:cs="宋体"/>
                <w:bCs/>
                <w:color w:val="auto"/>
                <w:sz w:val="24"/>
                <w:szCs w:val="24"/>
                <w:highlight w:val="none"/>
                <w:lang w:eastAsia="zh-CN"/>
              </w:rPr>
              <w:t>账</w:t>
            </w:r>
            <w:r>
              <w:rPr>
                <w:rFonts w:ascii="宋体" w:hAnsi="宋体" w:eastAsia="宋体" w:cs="宋体"/>
                <w:bCs/>
                <w:color w:val="auto"/>
                <w:sz w:val="24"/>
                <w:szCs w:val="24"/>
                <w:highlight w:val="none"/>
              </w:rPr>
              <w:t>、电汇等付款方式一次性向招标代理机构缴纳代理服务费，请投标人报价时予以充分考虑。③招标代理服务费缴交账户名：福建正燊招标代理有限公司；开户行：中国银行股份有限公司福州梅峰路支行；账号：406578305018。</w:t>
            </w:r>
          </w:p>
          <w:p w14:paraId="2E5C42F4">
            <w:pPr>
              <w:pStyle w:val="16"/>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(2)其他：</w:t>
            </w:r>
            <w:r>
              <w:rPr>
                <w:rFonts w:ascii="宋体" w:hAnsi="宋体" w:eastAsia="宋体" w:cs="宋体"/>
                <w:bCs/>
                <w:color w:val="auto"/>
                <w:sz w:val="24"/>
                <w:szCs w:val="24"/>
                <w:highlight w:val="none"/>
              </w:rPr>
              <w:t>【与招标文件其它表述存在矛盾的，以下述条款为准】：</w:t>
            </w:r>
            <w:r>
              <w:rPr>
                <w:rFonts w:ascii="宋体" w:hAnsi="宋体" w:eastAsia="宋体" w:cs="宋体"/>
                <w:bCs/>
                <w:color w:val="auto"/>
                <w:sz w:val="24"/>
                <w:szCs w:val="24"/>
                <w:highlight w:val="none"/>
                <w:lang w:eastAsia="zh-CN"/>
              </w:rPr>
              <w:t>19.1</w:t>
            </w:r>
            <w:r>
              <w:rPr>
                <w:rFonts w:ascii="宋体" w:hAnsi="宋体" w:eastAsia="宋体" w:cs="宋体"/>
                <w:bCs/>
                <w:color w:val="auto"/>
                <w:sz w:val="24"/>
                <w:szCs w:val="24"/>
                <w:highlight w:val="none"/>
              </w:rPr>
              <w:t>质疑受理的其它要求：a、质疑人递交质疑函时还应出具质疑人已在福建省政府采购网上公开信息系统上已对本项目进行报名的证明文件（体现报名时间），否则将不被认定为潜在投标人，其质疑将不予受理【招标文件首次下载之日为质疑人在福建省政府采购网上公开信息系统成功报名之日】。b、质疑人为法人或其他组织的，质疑函需加盖质疑人单位公章；若本项目接受自然人投标且质疑人为自然人的，质疑函需质疑人本人逐页签名。否则质疑将不予受理。c、在法定质疑期内投标人须一次性提出针对同一采购程序环节的质疑，二（多）次质疑不予受理，采购代理机构或采购人只针对第一次有效质疑进行答复。d、投标人对本项目招标文件有任何疑议或不认同之处，需在法定时间内按规定提出质疑，否则视为投标人接受招标文件的规定。e、质疑人应根据招标文件规定以现场方式将书面质疑函提交至福建正燊招标代理有限公司。</w:t>
            </w:r>
            <w:r>
              <w:rPr>
                <w:rFonts w:ascii="宋体" w:hAnsi="宋体" w:eastAsia="宋体" w:cs="宋体"/>
                <w:color w:val="auto"/>
                <w:sz w:val="24"/>
                <w:szCs w:val="24"/>
                <w:highlight w:val="none"/>
                <w:lang w:eastAsia="zh-CN"/>
              </w:rPr>
              <w:t>19.2</w:t>
            </w:r>
            <w:r>
              <w:rPr>
                <w:rFonts w:ascii="宋体" w:hAnsi="宋体" w:eastAsia="宋体" w:cs="宋体"/>
                <w:bCs/>
                <w:color w:val="auto"/>
                <w:sz w:val="24"/>
                <w:szCs w:val="24"/>
                <w:highlight w:val="none"/>
              </w:rPr>
              <w:t>投标人出现《福建省财政厅关于电子化政府采购项目中视为串标情形认定与处理的指导意见》（闽财购〔2018〕30号）文中规定的视为串标情形的，其投标无效。</w:t>
            </w:r>
            <w:r>
              <w:rPr>
                <w:rFonts w:ascii="宋体" w:hAnsi="宋体" w:eastAsia="宋体" w:cs="宋体"/>
                <w:color w:val="auto"/>
                <w:sz w:val="24"/>
                <w:szCs w:val="24"/>
                <w:highlight w:val="none"/>
                <w:lang w:eastAsia="zh-CN"/>
              </w:rPr>
              <w:t>本文件中其他表述与本项规定有冲突的以本项规定为准。19.</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lang w:eastAsia="zh-CN"/>
              </w:rPr>
              <w:t>根据采购资料归档需求，中标人在中标后应提供与电子投标文件内容相同的纸质投标文件（胶装后并加盖单位公章、骑缝章），数量：</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lang w:eastAsia="zh-CN"/>
              </w:rPr>
              <w:t>套。</w:t>
            </w:r>
          </w:p>
        </w:tc>
      </w:tr>
      <w:tr w14:paraId="5C5AA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5" w:hRule="atLeast"/>
        </w:trPr>
        <w:tc>
          <w:tcPr>
            <w:tcW w:w="2078" w:type="dxa"/>
            <w:gridSpan w:val="2"/>
          </w:tcPr>
          <w:p w14:paraId="6F1C231E">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c>
          <w:tcPr>
            <w:tcW w:w="6823" w:type="dxa"/>
          </w:tcPr>
          <w:p w14:paraId="0CC06E3C">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后有投标人须知前附表2，请勿遗漏。</w:t>
            </w:r>
          </w:p>
        </w:tc>
      </w:tr>
    </w:tbl>
    <w:p w14:paraId="2855045D">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8"/>
          <w:szCs w:val="28"/>
          <w:highlight w:val="none"/>
        </w:rPr>
        <w:t>二、投标人须知前附表2</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8"/>
        <w:gridCol w:w="8143"/>
      </w:tblGrid>
      <w:tr w14:paraId="5B6A2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15" w:hRule="atLeast"/>
        </w:trPr>
        <w:tc>
          <w:tcPr>
            <w:tcW w:w="8901" w:type="dxa"/>
            <w:gridSpan w:val="2"/>
          </w:tcPr>
          <w:p w14:paraId="76D915C6">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关于电子招标投标活动的专门规定</w:t>
            </w:r>
          </w:p>
        </w:tc>
      </w:tr>
      <w:tr w14:paraId="77E5B7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0" w:hRule="atLeast"/>
        </w:trPr>
        <w:tc>
          <w:tcPr>
            <w:tcW w:w="758" w:type="dxa"/>
          </w:tcPr>
          <w:p w14:paraId="543F99F1">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8143" w:type="dxa"/>
          </w:tcPr>
          <w:p w14:paraId="456F03A5">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编列内容</w:t>
            </w:r>
          </w:p>
        </w:tc>
      </w:tr>
      <w:tr w14:paraId="69D45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8" w:type="dxa"/>
            <w:vAlign w:val="center"/>
          </w:tcPr>
          <w:p w14:paraId="7F2E3E33">
            <w:pPr>
              <w:pStyle w:val="16"/>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8143" w:type="dxa"/>
          </w:tcPr>
          <w:p w14:paraId="2D114F11">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（1）电子招标投标活动的专门规定适用本项目电子招标投标活动。</w:t>
            </w:r>
          </w:p>
          <w:p w14:paraId="78155F02">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（2）将招标文件无 的内容修正为下列内容：无 后适用本项目的电子招标投标活动。</w:t>
            </w:r>
          </w:p>
          <w:p w14:paraId="5BC037A5">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（3）将下列内容增列为招标文件的组成部分（以下简称：“增列内容”）适用本项目的电子招标投标活动，若增列内容与招标文件其他章节内容有冲突，应以增列内容为准：</w:t>
            </w:r>
          </w:p>
          <w:p w14:paraId="48F9D85A">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①电子招标投标活动的具体操作流程以福建省政府采购网上公开信息系统设定的为准。</w:t>
            </w:r>
          </w:p>
          <w:p w14:paraId="477291E9">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②关于电子投标文件：</w:t>
            </w:r>
          </w:p>
          <w:p w14:paraId="288B8C3A">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a.投标人应按照福建省政府采购网上公开信息系统设定的评审节点编制电子投标文件，否则资格审查小组、评标委员会将按照不利于投标人的内容进行认定。</w:t>
            </w:r>
          </w:p>
          <w:p w14:paraId="034B09AC">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5D28C7EC">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③关于证明材料或资料：</w:t>
            </w:r>
          </w:p>
          <w:p w14:paraId="18550E6B">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976F3F1">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776E95E7">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④关于“全称”、“投标人代表签字”及“加盖单位公章”：</w:t>
            </w:r>
          </w:p>
          <w:p w14:paraId="518FB5D1">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a.在电子投标文件中，涉及“全称”和“投标人代表签字”的内容可使用打字录入方式完成。</w:t>
            </w:r>
          </w:p>
          <w:p w14:paraId="26187EB8">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b.在电子投标文件中，涉及“加盖单位公章”的内容应使用投标人的CA证书完成，否则投标无效。</w:t>
            </w:r>
          </w:p>
          <w:p w14:paraId="37B55A7B">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c.在电子投标文件中，若投标人按照本增列内容第④点第b项规定加盖其单位公章，则出现无全称、或投标人代表未签字等情形，不视为投标无效。</w:t>
            </w:r>
          </w:p>
          <w:p w14:paraId="7B834F72">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⑤关于投标人的CA证书：</w:t>
            </w:r>
          </w:p>
          <w:p w14:paraId="376F4225">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a.投标人的CA证书应在系统规定时间内使用CA证书进行电子投标文件的解密操作，逾期未解密的视为放弃投标。</w:t>
            </w:r>
          </w:p>
          <w:p w14:paraId="754E1715">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b.投标人的CA证书可采用信封（包括但不限于：信封、档案袋、文件袋等）作为外包装进行单独包装。外包装密封、不密封皆可。</w:t>
            </w:r>
          </w:p>
          <w:p w14:paraId="641FF7B7">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c.投标人的CA证书或外包装应标记“项目名称、项目编号、投标人的全称”等内容，以方便识别、使用。</w:t>
            </w:r>
          </w:p>
          <w:p w14:paraId="60BC1AC4">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d.投标人的CA证书应能正常、有效使用，否则产生不利后果由投标人承担责任。</w:t>
            </w:r>
          </w:p>
          <w:p w14:paraId="5C770B8D">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⑥关于投标截止时间过后</w:t>
            </w:r>
          </w:p>
          <w:p w14:paraId="4BD43A09">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a.未按招标文件规定提交投标保证金的，其投标将按无效投标处理。</w:t>
            </w:r>
          </w:p>
          <w:p w14:paraId="438B97CC">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b.有下列情形之一的，其投标无效,其保证金不予退还或通过投标保函进行索赔：</w:t>
            </w:r>
          </w:p>
          <w:p w14:paraId="19C0A2FC">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b1不同投标人的电子投标文件具有相同内部识别码；</w:t>
            </w:r>
          </w:p>
          <w:p w14:paraId="7E40D654">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b2不同投标人的投标保证金从同一单位或个人的账户转出；</w:t>
            </w:r>
          </w:p>
          <w:p w14:paraId="735441E6">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b3投标人的投标保证金同一采购包下有其他投标人提交的投标保证金；</w:t>
            </w:r>
          </w:p>
          <w:p w14:paraId="1CB0107A">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b4不同投标人存在串通投标的其他情形。</w:t>
            </w:r>
          </w:p>
          <w:p w14:paraId="77FB29DE">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70B904D5">
            <w:pPr>
              <w:pStyle w:val="16"/>
              <w:keepNext w:val="0"/>
              <w:keepLines w:val="0"/>
              <w:pageBreakBefore w:val="0"/>
              <w:widowControl/>
              <w:kinsoku/>
              <w:wordWrap/>
              <w:overflowPunct/>
              <w:topLinePunct w:val="0"/>
              <w:autoSpaceDE/>
              <w:autoSpaceDN/>
              <w:bidi w:val="0"/>
              <w:adjustRightInd/>
              <w:snapToGrid/>
              <w:spacing w:line="34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⑧其他：关于远程开标的规定：</w:t>
            </w:r>
            <w:r>
              <w:rPr>
                <w:rFonts w:ascii="宋体" w:hAnsi="宋体" w:eastAsia="宋体" w:cs="宋体"/>
                <w:color w:val="auto"/>
                <w:sz w:val="24"/>
                <w:szCs w:val="24"/>
                <w:highlight w:val="none"/>
                <w:lang w:eastAsia="zh-CN"/>
              </w:rPr>
              <w:t>a.</w:t>
            </w:r>
            <w:r>
              <w:rPr>
                <w:rFonts w:ascii="宋体" w:hAnsi="宋体" w:eastAsia="宋体" w:cs="宋体"/>
                <w:color w:val="auto"/>
                <w:sz w:val="24"/>
                <w:szCs w:val="24"/>
                <w:highlight w:val="none"/>
              </w:rPr>
              <w:t>本项目支持远程开标，投标人可通过远程线上参与开标，具体系统操作指南详见福建省政府采购网首页上相关操作手册。</w:t>
            </w:r>
            <w:r>
              <w:rPr>
                <w:rFonts w:ascii="宋体" w:hAnsi="宋体" w:eastAsia="宋体" w:cs="宋体"/>
                <w:color w:val="auto"/>
                <w:sz w:val="24"/>
                <w:szCs w:val="24"/>
                <w:highlight w:val="none"/>
                <w:lang w:eastAsia="zh-CN"/>
              </w:rPr>
              <w:t>b.</w:t>
            </w:r>
            <w:r>
              <w:rPr>
                <w:rFonts w:ascii="宋体" w:hAnsi="宋体" w:eastAsia="宋体" w:cs="宋体"/>
                <w:color w:val="auto"/>
                <w:sz w:val="24"/>
                <w:szCs w:val="24"/>
                <w:highlight w:val="none"/>
              </w:rPr>
              <w:t>远程开标的每个环节代理机构设定的等待时间均不少于</w:t>
            </w:r>
            <w:r>
              <w:rPr>
                <w:rFonts w:ascii="宋体" w:hAnsi="宋体" w:eastAsia="宋体" w:cs="宋体"/>
                <w:color w:val="auto"/>
                <w:sz w:val="24"/>
                <w:szCs w:val="24"/>
                <w:highlight w:val="none"/>
                <w:lang w:eastAsia="zh-CN"/>
              </w:rPr>
              <w:t>10</w:t>
            </w:r>
            <w:r>
              <w:rPr>
                <w:rFonts w:ascii="宋体" w:hAnsi="宋体" w:eastAsia="宋体" w:cs="宋体"/>
                <w:color w:val="auto"/>
                <w:sz w:val="24"/>
                <w:szCs w:val="24"/>
                <w:highlight w:val="none"/>
              </w:rPr>
              <w:t>分钟，请投标人务必密切关注实时开标流程，完成远程解密、远程签章。</w:t>
            </w:r>
            <w:r>
              <w:rPr>
                <w:rFonts w:ascii="宋体" w:hAnsi="宋体" w:eastAsia="宋体" w:cs="宋体"/>
                <w:color w:val="auto"/>
                <w:sz w:val="24"/>
                <w:szCs w:val="24"/>
                <w:highlight w:val="none"/>
                <w:lang w:eastAsia="zh-CN"/>
              </w:rPr>
              <w:t>c.</w:t>
            </w:r>
            <w:r>
              <w:rPr>
                <w:rFonts w:ascii="宋体" w:hAnsi="宋体" w:eastAsia="宋体" w:cs="宋体"/>
                <w:color w:val="auto"/>
                <w:sz w:val="24"/>
                <w:szCs w:val="24"/>
                <w:highlight w:val="none"/>
              </w:rPr>
              <w:t>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w:t>
            </w:r>
            <w:r>
              <w:rPr>
                <w:rFonts w:ascii="宋体" w:hAnsi="宋体" w:eastAsia="宋体" w:cs="宋体"/>
                <w:color w:val="auto"/>
                <w:sz w:val="24"/>
                <w:szCs w:val="24"/>
                <w:highlight w:val="none"/>
                <w:lang w:eastAsia="zh-CN"/>
              </w:rPr>
              <w:t>d.</w:t>
            </w:r>
            <w:r>
              <w:rPr>
                <w:rFonts w:ascii="宋体" w:hAnsi="宋体" w:eastAsia="宋体" w:cs="宋体"/>
                <w:color w:val="auto"/>
                <w:sz w:val="24"/>
                <w:szCs w:val="24"/>
                <w:highlight w:val="none"/>
              </w:rPr>
              <w:t>在开标过程中，因系统故障等导致无法继续进行开标的，投标人须配合等待故障处理，待故障解除后继续开标。</w:t>
            </w:r>
          </w:p>
        </w:tc>
      </w:tr>
    </w:tbl>
    <w:p w14:paraId="5808D26B">
      <w:pPr>
        <w:pStyle w:val="16"/>
        <w:jc w:val="center"/>
        <w:rPr>
          <w:rFonts w:ascii="宋体" w:hAnsi="宋体" w:eastAsia="宋体" w:cs="宋体"/>
          <w:b/>
          <w:color w:val="auto"/>
          <w:sz w:val="32"/>
          <w:szCs w:val="32"/>
          <w:highlight w:val="none"/>
        </w:rPr>
        <w:sectPr>
          <w:pgSz w:w="11906" w:h="16838"/>
          <w:pgMar w:top="1440" w:right="1737" w:bottom="1440" w:left="1349" w:header="851" w:footer="992" w:gutter="0"/>
          <w:pgNumType w:fmt="decimal"/>
          <w:cols w:space="425" w:num="1"/>
          <w:docGrid w:type="lines" w:linePitch="312" w:charSpace="0"/>
        </w:sectPr>
      </w:pPr>
    </w:p>
    <w:p w14:paraId="024F3999">
      <w:pPr>
        <w:pStyle w:val="16"/>
        <w:jc w:val="center"/>
        <w:rPr>
          <w:rFonts w:hint="default" w:ascii="宋体" w:hAnsi="宋体" w:eastAsia="宋体" w:cs="宋体"/>
          <w:color w:val="auto"/>
          <w:sz w:val="32"/>
          <w:szCs w:val="32"/>
          <w:highlight w:val="none"/>
        </w:rPr>
      </w:pPr>
      <w:r>
        <w:rPr>
          <w:rFonts w:ascii="宋体" w:hAnsi="宋体" w:eastAsia="宋体" w:cs="宋体"/>
          <w:b/>
          <w:color w:val="auto"/>
          <w:sz w:val="32"/>
          <w:szCs w:val="32"/>
          <w:highlight w:val="none"/>
        </w:rPr>
        <w:t>第三章 投标人须知</w:t>
      </w:r>
    </w:p>
    <w:p w14:paraId="215CF756">
      <w:pPr>
        <w:pStyle w:val="16"/>
        <w:spacing w:line="360" w:lineRule="exact"/>
        <w:ind w:firstLine="480"/>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一、总则</w:t>
      </w:r>
    </w:p>
    <w:p w14:paraId="55E9225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1、适用范围</w:t>
      </w:r>
    </w:p>
    <w:p w14:paraId="601415C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1.1适用于招标文件载明项目的政府采购活动（以下简称：“本次采购活动”）。</w:t>
      </w:r>
    </w:p>
    <w:p w14:paraId="4EE13E8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2、定义</w:t>
      </w:r>
    </w:p>
    <w:p w14:paraId="15EB285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2.1“采购标的”指招标文件载明的需要采购的货物或服务。</w:t>
      </w:r>
    </w:p>
    <w:p w14:paraId="4A0BECA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2.2“潜在投标人”指按照招标文件第一章第7条规定获取招标文件且有意向参加本项目投标的供应商。</w:t>
      </w:r>
    </w:p>
    <w:p w14:paraId="702CF66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2.3“投标人”指按照招标文件第一章第7条规定获取招标文件并参加本项目投标的供应商。</w:t>
      </w:r>
    </w:p>
    <w:p w14:paraId="51CF46B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2.4“单位负责人”指单位法定代表人或法律、法规规定代表单位行使职权的主要负责人。</w:t>
      </w:r>
    </w:p>
    <w:p w14:paraId="5DFEF41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2.5“投标人代表”指投标人的单位负责人或“单位负责人授权书”中载明的接受授权方。</w:t>
      </w:r>
    </w:p>
    <w:p w14:paraId="6BF39666">
      <w:pPr>
        <w:pStyle w:val="16"/>
        <w:spacing w:line="360" w:lineRule="exact"/>
        <w:ind w:firstLine="480"/>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二、投标人</w:t>
      </w:r>
    </w:p>
    <w:p w14:paraId="08C2202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3、合格投标人</w:t>
      </w:r>
    </w:p>
    <w:p w14:paraId="057E3C3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3.1一般规定</w:t>
      </w:r>
    </w:p>
    <w:p w14:paraId="2B040E8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773914C2">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AEAC4B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（2）投标人的资格要求：详见招标文件第一章。</w:t>
      </w:r>
    </w:p>
    <w:p w14:paraId="7732339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3.2若本项目接受联合体投标且投标人为联合体，则联合体各方应遵守本章第3.1条规定，同时还应遵守下列规定：</w:t>
      </w:r>
    </w:p>
    <w:p w14:paraId="537BA85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（1）联合体各方应提交联合体协议，联合体协议应符合招标文件规定。</w:t>
      </w:r>
    </w:p>
    <w:p w14:paraId="5CC6012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（2）联合体各方不得再单独参加或与其他供应商另外组成联合体参加同一合同项下的投标。</w:t>
      </w:r>
    </w:p>
    <w:p w14:paraId="429EED1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（3）联合体各方应共同与采购人签订政府采购合同，就政府采购合同约定的事项对采购人承担连带责任。</w:t>
      </w:r>
    </w:p>
    <w:p w14:paraId="41A882F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F97A54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（5）联合体一方放弃中标的，视为联合体整体放弃中标，联合体各方承担连带责任。</w:t>
      </w:r>
    </w:p>
    <w:p w14:paraId="5E03A30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（6）如本项目不接受联合体投标而投标人为联合体的，或者本项目接受联合体投标但投标人组成的联合体不符合本章第3.2条规定的，投标无效。</w:t>
      </w:r>
    </w:p>
    <w:p w14:paraId="4AA3C82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4、投标费用</w:t>
      </w:r>
    </w:p>
    <w:p w14:paraId="3608089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4.1除招标文件另有规定外，投标人应自行承担其参加本项目投标所涉及的一切费用。</w:t>
      </w:r>
    </w:p>
    <w:p w14:paraId="15E33DFE">
      <w:pPr>
        <w:pStyle w:val="16"/>
        <w:spacing w:line="360" w:lineRule="exact"/>
        <w:ind w:firstLine="480"/>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三、招标</w:t>
      </w:r>
    </w:p>
    <w:p w14:paraId="3D1F174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5、招标文件</w:t>
      </w:r>
    </w:p>
    <w:p w14:paraId="7CA386E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5.1招标文件由下述部分组成：</w:t>
      </w:r>
    </w:p>
    <w:p w14:paraId="11E56C5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（1）投标邀请</w:t>
      </w:r>
    </w:p>
    <w:p w14:paraId="0EE2ECA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（2）投标人须知前附表（表1、2）</w:t>
      </w:r>
    </w:p>
    <w:p w14:paraId="3A04A44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（3）投标人须知</w:t>
      </w:r>
    </w:p>
    <w:p w14:paraId="6EB9CF6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（4）资格审查与评标</w:t>
      </w:r>
    </w:p>
    <w:p w14:paraId="7E59E2C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（5）招标内容及要求</w:t>
      </w:r>
    </w:p>
    <w:p w14:paraId="3477244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（6）政府采购合同（参考文本）</w:t>
      </w:r>
    </w:p>
    <w:p w14:paraId="5651F4C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（7）电子投标文件格式</w:t>
      </w:r>
    </w:p>
    <w:p w14:paraId="35C1392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（8）按照招标文件规定作为招标文件组成部分的其他内容（若有）</w:t>
      </w:r>
    </w:p>
    <w:p w14:paraId="49FF6E1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5.2招标文件的澄清或修改</w:t>
      </w:r>
    </w:p>
    <w:p w14:paraId="6F7A53B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可对已发出的招标文件进行必要的澄清或修改，但不得对招标文件载明的采购标的和投标人的资格要求进行改变。</w:t>
      </w:r>
    </w:p>
    <w:p w14:paraId="0A9674B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（2）除本章第5.2条第（3）款规定情形外，澄清或修改的内容可能影响电子投标文件编制的，</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将在投标截止时间至少15个日历日前，在招标文件载明的指定媒体以更正公告的形式发布澄清或修改的内容。不足15个日历日的，</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将顺延投标截止时间及开标时间，</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和投标人受原投标截止时间及开标时间制约的所有权利和义务均延长至新的投标截止时间及开标时间。</w:t>
      </w:r>
    </w:p>
    <w:p w14:paraId="12702AF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（3）澄清或修改的内容可能改变招标文件载明的采购标的和投标人的资格要求的，本次采购活动结束，</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将依法组织后续采购活动（包括但不限于：重新招标、采用其他方式采购等）。</w:t>
      </w:r>
    </w:p>
    <w:p w14:paraId="26B58F2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6、现场考察或开标前答疑会</w:t>
      </w:r>
    </w:p>
    <w:p w14:paraId="3401EDC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6.1是否组织现场考察或召开开标前答疑会：详见招标文件第二章。</w:t>
      </w:r>
    </w:p>
    <w:p w14:paraId="157A1A7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7、更正公告</w:t>
      </w:r>
    </w:p>
    <w:p w14:paraId="6C1C95F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7.1若</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发布更正公告，则更正公告及其所发布的内容或信息（包括但不限于：招标文件的澄清或修改、现场考察或答疑会的有关事宜等）作为招标文件组成部分，对投标人具有约束力。</w:t>
      </w:r>
    </w:p>
    <w:p w14:paraId="3DF5D2D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7.2更正公告作为</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通知所有潜在投标人的书面形式。</w:t>
      </w:r>
    </w:p>
    <w:p w14:paraId="0FAA3A2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8、终止公告</w:t>
      </w:r>
    </w:p>
    <w:p w14:paraId="31C1E24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8.1若出现因重大变故导致采购任务取消情形，</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可终止招标并发布终止公告。</w:t>
      </w:r>
    </w:p>
    <w:p w14:paraId="561B56E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8.2终止公告作为</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通知所有潜在投标人的书面形式。</w:t>
      </w:r>
    </w:p>
    <w:p w14:paraId="15919B25">
      <w:pPr>
        <w:pStyle w:val="16"/>
        <w:spacing w:line="360" w:lineRule="exact"/>
        <w:ind w:firstLine="480"/>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四、投标</w:t>
      </w:r>
    </w:p>
    <w:p w14:paraId="29C1F98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9、投标</w:t>
      </w:r>
    </w:p>
    <w:p w14:paraId="151A0E2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9.1投标人可对招标文件载明的全部或部分采购包进行投标。</w:t>
      </w:r>
    </w:p>
    <w:p w14:paraId="33751A4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9.2投标人应对同一个采购包内的所有内容进行完整投标，否则投标无效。</w:t>
      </w:r>
    </w:p>
    <w:p w14:paraId="4E9CA46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9.3投标人代表只能接受一个投标人的授权参加投标，否则投标无效。</w:t>
      </w:r>
    </w:p>
    <w:p w14:paraId="2A69469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9.4单位负责人为同一人或存在直接控股、管理关系的不同供应商，不得同时参加同一合同项下的投标，否则投标无效。</w:t>
      </w:r>
    </w:p>
    <w:p w14:paraId="51E0A43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9.5为本项目提供整体设计、规范编制或项目管理、监理、检测等服务的供应商，不得参加本项目除整体设计、规范编制和项目管理、监理、检测等服务外的采购活动，否则投标无效。</w:t>
      </w:r>
    </w:p>
    <w:p w14:paraId="2C4EDC8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9.6列入失信被执行人、重大税收违法案件当事人名单、政府采购严重违法失信行为记录名单及其他不符合政府采购法第二十二条规定条件的供应商，不得参加投标，否则投标无效。</w:t>
      </w:r>
    </w:p>
    <w:p w14:paraId="453CF7A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9.7有下列情形之一的，视为投标人串通投标，其投标无效：</w:t>
      </w:r>
    </w:p>
    <w:p w14:paraId="3AE39FE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（1）不同投标人的电子投标文件由同一单位或个人编制；</w:t>
      </w:r>
    </w:p>
    <w:p w14:paraId="69175F8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（2）不同投标人委托同一单位或个人办理投标事宜；</w:t>
      </w:r>
    </w:p>
    <w:p w14:paraId="7107720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（3）不同投标人的电子投标文件载明的项目管理成员或联系人员为同一人；</w:t>
      </w:r>
    </w:p>
    <w:p w14:paraId="3803099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（4）不同投标人的电子投标文件异常一致或投标报价呈规律性差异；</w:t>
      </w:r>
    </w:p>
    <w:p w14:paraId="2441152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（5）不同投标人的电子投标文件相互混装；</w:t>
      </w:r>
    </w:p>
    <w:p w14:paraId="243858E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（6）不同投标人的投标保证金从同一单位或个人的账户转出；</w:t>
      </w:r>
    </w:p>
    <w:p w14:paraId="15EFC2D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（7）有关法律、法规和规章及招标文件规定的其他串通投标情形。</w:t>
      </w:r>
    </w:p>
    <w:p w14:paraId="30A1AD9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10、电子投标文件</w:t>
      </w:r>
    </w:p>
    <w:p w14:paraId="0BC20D0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10.1电子投标文件的编制</w:t>
      </w:r>
    </w:p>
    <w:p w14:paraId="2E8608C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（1）投标人应先仔细阅读招标文件的全部内容后，再进行电子投标文件的编制。</w:t>
      </w:r>
    </w:p>
    <w:p w14:paraId="08F5706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（2）电子投标文件应按照本章第10.2条规定编制其组成部分。</w:t>
      </w:r>
    </w:p>
    <w:p w14:paraId="01484EA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（3）电子投标文件应满足招标文件提出的实质性要求和条件，并保证其所提交的全部资料是不可割离且真实、有效、准确、完整和不具有任何误导性的，否则造成不利后果由投标人承担责任。</w:t>
      </w:r>
    </w:p>
    <w:p w14:paraId="0018E9A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10.2电子投标文件由下述部分组成：</w:t>
      </w:r>
    </w:p>
    <w:p w14:paraId="26D8761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（1）资格及资信证明部分</w:t>
      </w:r>
    </w:p>
    <w:p w14:paraId="2A66813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①投标函</w:t>
      </w:r>
    </w:p>
    <w:p w14:paraId="716D9EE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②投标人的资格及资信证明文件</w:t>
      </w:r>
    </w:p>
    <w:p w14:paraId="0AA8267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③投标保证金</w:t>
      </w:r>
    </w:p>
    <w:p w14:paraId="13941AF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（2）报价部分</w:t>
      </w:r>
    </w:p>
    <w:p w14:paraId="28CEBD3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①开标（报价）一览表</w:t>
      </w:r>
    </w:p>
    <w:p w14:paraId="0130FE9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②投标（响应）报价明细表</w:t>
      </w:r>
    </w:p>
    <w:p w14:paraId="0AF2C90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③招标文件规定的价格扣除证明材料（若有）</w:t>
      </w:r>
    </w:p>
    <w:p w14:paraId="35F7F99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④招标文件规定的加分证明材料（若有）</w:t>
      </w:r>
    </w:p>
    <w:p w14:paraId="3F2FB66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（3）技术商务部分</w:t>
      </w:r>
    </w:p>
    <w:p w14:paraId="5F6DBD4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①标的说明一览表</w:t>
      </w:r>
    </w:p>
    <w:p w14:paraId="12BA9CE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②技术和服务要求响应表</w:t>
      </w:r>
    </w:p>
    <w:p w14:paraId="007D072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③商务条件响应表</w:t>
      </w:r>
    </w:p>
    <w:p w14:paraId="2E8DD55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④投标人提交的其他资料（若有）</w:t>
      </w:r>
    </w:p>
    <w:p w14:paraId="02E1001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⑤招标文件规定作为电子投标文件组成部分的其他内容（若有）</w:t>
      </w:r>
    </w:p>
    <w:p w14:paraId="26A9897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10.3电子投标文件的语言</w:t>
      </w:r>
    </w:p>
    <w:p w14:paraId="3897762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（1）除招标文件另有规定外，电子投标文件应使用中文文本，若有不同文本，以中文文本为准。</w:t>
      </w:r>
    </w:p>
    <w:p w14:paraId="34C5E47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9E41AF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10.4投标文件的份数：详见招标文件第二章。</w:t>
      </w:r>
    </w:p>
    <w:p w14:paraId="2074F22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10.5电子投标文件的格式</w:t>
      </w:r>
    </w:p>
    <w:p w14:paraId="65EF13B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（1）除招标文件另有规定外，电子投标文件应使用招标文件第七章规定的格式。</w:t>
      </w:r>
    </w:p>
    <w:p w14:paraId="0D0C992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（2）除招标文件另有规定外，电子投标文件应使用不能擦去的墨料或墨水打印、书写或复印。</w:t>
      </w:r>
    </w:p>
    <w:p w14:paraId="64C03A5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（3）除招标文件另有规定外，电子投标文件应使用人民币作为计量货币。</w:t>
      </w:r>
    </w:p>
    <w:p w14:paraId="758822F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（4）除招标文件另有规定外，签署、盖章应遵守下列规定：</w:t>
      </w:r>
    </w:p>
    <w:p w14:paraId="20A026C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①电子投标文件应加盖投标人的单位公章。若投标人代表为单位授权的委托代理人，应提供“单位授权书”。</w:t>
      </w:r>
    </w:p>
    <w:p w14:paraId="196C431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②电子投标文件应没有涂改或行间插字，除非这些改动是根据</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的指示进行的，或是为改正投标人造成的应修改的错误而进行的。若有前述改动，应按照下列规定之一对改动处进行处理：</w:t>
      </w:r>
    </w:p>
    <w:p w14:paraId="0A8B581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a.投标人代表签字确认；</w:t>
      </w:r>
    </w:p>
    <w:p w14:paraId="48A50D6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b.加盖投标人的单位公章或校正章。</w:t>
      </w:r>
    </w:p>
    <w:p w14:paraId="2BAEC16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10.6投标报价</w:t>
      </w:r>
    </w:p>
    <w:p w14:paraId="27CD66B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（1）投标报价超出最高限价将导致投标无效。</w:t>
      </w:r>
    </w:p>
    <w:p w14:paraId="01B5083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（2）最高限价由采购人根据价格测算情况，在预算金额的额度内合理设定。最高限价不得超出预算金额。</w:t>
      </w:r>
    </w:p>
    <w:p w14:paraId="1F31741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（3）除招标文件另有规定外，电子投标文件不能出现任何选择性的投标报价，即每一个采购包和品目号的采购标的都只能有一个投标报价。任何选择性的投标报价将导致投标无效。</w:t>
      </w:r>
    </w:p>
    <w:p w14:paraId="0B54931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10.7分包</w:t>
      </w:r>
    </w:p>
    <w:p w14:paraId="4284369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（1）是否允许中标人将本项目的非主体、非关键性工作进行分包：详见招标文件第二章。</w:t>
      </w:r>
    </w:p>
    <w:p w14:paraId="5AE983E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0DCA900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（3）招标文件允许中标人将非主体、非关键性工作进行分包的项目，有下列情形之一的，中标人不得分包：</w:t>
      </w:r>
    </w:p>
    <w:p w14:paraId="5124666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①电子投标文件中未载明分包承担主体；</w:t>
      </w:r>
    </w:p>
    <w:p w14:paraId="450978B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②电子投标文件载明的分包承担主体不具备相应资质条件；</w:t>
      </w:r>
    </w:p>
    <w:p w14:paraId="53C75B1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③电子投标文件载明的分包承担主体拟再次分包；</w:t>
      </w:r>
    </w:p>
    <w:p w14:paraId="0C3A7D1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④享受中小企业扶持政策获得政府采购合同的，小微企业不得将合同分包给大中型企业，中型企业不得将合同分包给大型企业。</w:t>
      </w:r>
    </w:p>
    <w:p w14:paraId="06360C9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10.8投标有效期</w:t>
      </w:r>
    </w:p>
    <w:p w14:paraId="658B8A5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（1）招标文件载明的投标有效期：详见招标文件第二章。</w:t>
      </w:r>
    </w:p>
    <w:p w14:paraId="66C6D34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（2）电子投标文件承诺的投标有效期不得少于招标文件载明的投标有效期，否则投标无效。</w:t>
      </w:r>
    </w:p>
    <w:p w14:paraId="35BE47A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（3）根据本次采购活动的需要，</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可于投标有效期届满之前书面要求投标人延长投标有效期，投标人应在</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 xml:space="preserve">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4842C02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10.9投标保证金</w:t>
      </w:r>
    </w:p>
    <w:p w14:paraId="2021D00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（1）投标保证金作为投标人按照招标文件规定履行相应投标责任、义务的约束及担保。</w:t>
      </w:r>
    </w:p>
    <w:p w14:paraId="37B8567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（2）投标人以电子保函形式提交投标保证金的，保函的有效期应等于或长于电子投标文件承诺的投标有效期，否则投标无效。</w:t>
      </w:r>
    </w:p>
    <w:p w14:paraId="7E5D1B7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（3）提交</w:t>
      </w:r>
    </w:p>
    <w:p w14:paraId="343B2B2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4C1B111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EE9D474">
      <w:pPr>
        <w:pStyle w:val="16"/>
        <w:spacing w:line="360" w:lineRule="exact"/>
        <w:ind w:firstLine="48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③其他形式：无</w:t>
      </w:r>
      <w:r>
        <w:rPr>
          <w:rFonts w:hint="eastAsia" w:ascii="宋体" w:hAnsi="宋体" w:eastAsia="宋体" w:cs="宋体"/>
          <w:color w:val="auto"/>
          <w:sz w:val="24"/>
          <w:szCs w:val="24"/>
          <w:highlight w:val="none"/>
          <w:lang w:eastAsia="zh-CN"/>
        </w:rPr>
        <w:t>。</w:t>
      </w:r>
    </w:p>
    <w:p w14:paraId="5611245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④若本项目接受联合体投标且投标人为联合体，则联合体中的牵头方应按照本章第10.9条第（3）款第①、②、③点规定提交投标保证金。</w:t>
      </w:r>
    </w:p>
    <w:p w14:paraId="7E36838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※除招标文件另有规定外，未按照上述规定提交投标保证金将导致资格审查不合格。</w:t>
      </w:r>
    </w:p>
    <w:p w14:paraId="4A24FA0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（4）退还</w:t>
      </w:r>
    </w:p>
    <w:p w14:paraId="11EF42E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①在投标截止时间前撤回已提交的电子投标文件的投标人，其投标保证金将在 </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收到投标人书面撤回通知之日起5个工作日内退回原账户。</w:t>
      </w:r>
    </w:p>
    <w:p w14:paraId="32DD1F2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②未中标人的投标保证金将在中标通知书发出之日起5个工作日内退回原账户。</w:t>
      </w:r>
    </w:p>
    <w:p w14:paraId="1D6C562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③中标人的投标保证金将在政府采购合同签订之日起5个工作日内退回原账户；合同签订之日以福建省政府采购网上公开信息系统记载的为准。</w:t>
      </w:r>
    </w:p>
    <w:p w14:paraId="42EAF3E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④终止招标的，</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将在终止公告发布之日起5个工作日内退回已收取的投标保证金及其在银行产生的孳息。</w:t>
      </w:r>
    </w:p>
    <w:p w14:paraId="6BA8E81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⑤除招标文件另有规定外，质疑或投诉涉及的投标人，若投标保证金尚未退还，则待质疑或投诉处理完毕后不计利息原额退还。</w:t>
      </w:r>
    </w:p>
    <w:p w14:paraId="54E2F3D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※本章第10.9条第（4）款第①、②、③点规定的投标保证金退还时限不包括因投标人自身原因导致无法及时退还而增加的时间。</w:t>
      </w:r>
    </w:p>
    <w:p w14:paraId="25D8DF5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560187C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（6）有下列情形之一的，投标保证金将不予退还或通过投标保函进行索赔：</w:t>
      </w:r>
    </w:p>
    <w:p w14:paraId="6742B0C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①投标人串通投标；</w:t>
      </w:r>
    </w:p>
    <w:p w14:paraId="30F9061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②投标人提供虚假材料；</w:t>
      </w:r>
    </w:p>
    <w:p w14:paraId="1B55FA5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③投标人采取不正当手段诋毁、排挤其他投标人；</w:t>
      </w:r>
    </w:p>
    <w:p w14:paraId="4CA8868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④投标截止时间后，投标人在投标有效期内撤销电子投标文件；</w:t>
      </w:r>
    </w:p>
    <w:p w14:paraId="28A59EF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⑤招标文件规定的其他不予退还情形；</w:t>
      </w:r>
    </w:p>
    <w:p w14:paraId="162EEF9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⑥中标人有下列情形之一的：</w:t>
      </w:r>
    </w:p>
    <w:p w14:paraId="581355F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a.除不可抗力外，因中标人自身原因未在中标通知书要求的期限内与采购人签订政府采购合同；</w:t>
      </w:r>
    </w:p>
    <w:p w14:paraId="0D3FFF1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b.未按照招标文件、投标文件的约定签订政府采购合同或提交履约保证金。</w:t>
      </w:r>
    </w:p>
    <w:p w14:paraId="6294793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※若上述投标保证金不予退还情形给采购人（采购代理机构）造成损失，则投标人还要承担相应的赔偿责任。</w:t>
      </w:r>
    </w:p>
    <w:p w14:paraId="33232E3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10.10电子投标文件的提交</w:t>
      </w:r>
    </w:p>
    <w:p w14:paraId="18D1978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（1）一个投标人只能提交一个电子投标文件，并按照招标文件第一章规定在系统上完成上传、解密操作。</w:t>
      </w:r>
    </w:p>
    <w:p w14:paraId="7981B44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10.11电子投标文件的补充、修改或撤回</w:t>
      </w:r>
    </w:p>
    <w:p w14:paraId="4F6777D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（1）投标截止时间前，投标人可对所提交的电子投标文件进行补充、修改或撤回，并书面通知</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w:t>
      </w:r>
    </w:p>
    <w:p w14:paraId="4551868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（2）补充、修改的内容应按照本章第10.5条第（4）款规定进行签署、盖章，并按照本章第10.10条规定提交，否则将被拒收。</w:t>
      </w:r>
    </w:p>
    <w:p w14:paraId="7B9B882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※按照上述规定提交的补充、修改内容作为电子投标文件组成部分。</w:t>
      </w:r>
    </w:p>
    <w:p w14:paraId="797BAF6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10.12除招标文件另有规定外，有下列情形之一的，投标无效：</w:t>
      </w:r>
    </w:p>
    <w:p w14:paraId="642D8E9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（1）电子投标文件未按照招标文件要求签署、盖章；</w:t>
      </w:r>
    </w:p>
    <w:p w14:paraId="09C093D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（2）不符合招标文件中规定的资格要求；</w:t>
      </w:r>
    </w:p>
    <w:p w14:paraId="79380BF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（3）投标报价超过招标文件中规定的预算金额或最高限价；</w:t>
      </w:r>
    </w:p>
    <w:p w14:paraId="76EB6AE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（4）电子投标文件含有采购人不能接受的附加条件；</w:t>
      </w:r>
    </w:p>
    <w:p w14:paraId="66636C6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（5）有关法律、法规和规章及招标文件规定的其他无效情形。</w:t>
      </w:r>
    </w:p>
    <w:p w14:paraId="2A5A3979">
      <w:pPr>
        <w:pStyle w:val="16"/>
        <w:spacing w:line="360" w:lineRule="exact"/>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五、开标</w:t>
      </w:r>
    </w:p>
    <w:p w14:paraId="0C5EF13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11、开标</w:t>
      </w:r>
    </w:p>
    <w:p w14:paraId="768E32A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11.1</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将在招标文件载明的开标时间及地点主持召开开标会，并邀请投标人参加。</w:t>
      </w:r>
    </w:p>
    <w:p w14:paraId="13C9579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11.2开标会的主持人、唱标人、记录人及其他工作人员（若有）均由</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派出，现场监督人员（若有）可由有关方面派出。</w:t>
      </w:r>
    </w:p>
    <w:p w14:paraId="490F520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2CFF373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11.4开标会应遵守下列规定：</w:t>
      </w:r>
    </w:p>
    <w:p w14:paraId="19531D8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7705EB5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0F965C6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（3）唱标结束后，参加现场开标会的投标人代表应对开标记录进行签字确认，通过远程参与开标流程的投标人须在系统远程签章开启后，在系统规定时间内对开标结果进行签章确认。</w:t>
      </w:r>
    </w:p>
    <w:p w14:paraId="176B032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348034E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（5）若投标人未到开标现场参加开标会，也未通过远程参加开标会的，视同认可开标结果。</w:t>
      </w:r>
    </w:p>
    <w:p w14:paraId="0B5D15F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提出任何疑义或要求（包括质疑）。</w:t>
      </w:r>
    </w:p>
    <w:p w14:paraId="6125A1E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11.5投标截止时间后，参加投标的投标人不足三家的，不进行开标。同时，本次采购活动结束，</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将依法组织后续采购活动（包括但不限于：重新招标、采用其他方式采购等）。</w:t>
      </w:r>
    </w:p>
    <w:p w14:paraId="6A66060F">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11.6投标截止时间后撤销投标的处理</w:t>
      </w:r>
    </w:p>
    <w:p w14:paraId="5F48F4B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投标截止时间后，投标人在投标有效期内撤销投标的，其撤销投标的行为无效。</w:t>
      </w:r>
    </w:p>
    <w:p w14:paraId="076CE3A4">
      <w:pPr>
        <w:pStyle w:val="16"/>
        <w:spacing w:line="360" w:lineRule="exact"/>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六、中标与政府采购合同</w:t>
      </w:r>
    </w:p>
    <w:p w14:paraId="071E969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12、中标</w:t>
      </w:r>
    </w:p>
    <w:p w14:paraId="5B4C2CA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12.1本项目推荐的中标候选人家数：详见招标文件第二章。</w:t>
      </w:r>
    </w:p>
    <w:p w14:paraId="4803156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12.2本项目中标人的确定：详见招标文件第二章。</w:t>
      </w:r>
    </w:p>
    <w:p w14:paraId="026C9D7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12.3中标公告</w:t>
      </w:r>
    </w:p>
    <w:p w14:paraId="643369B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（1）中标人确定之日起2个工作日内，</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将在招标文件载明的指定媒体以中标公告的形式发布中标结果。</w:t>
      </w:r>
    </w:p>
    <w:p w14:paraId="3E5AEE1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（2）中标公告的公告期限为1个工作日。</w:t>
      </w:r>
    </w:p>
    <w:p w14:paraId="2D7A34C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12.4中标通知书</w:t>
      </w:r>
    </w:p>
    <w:p w14:paraId="067F48B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（1）中标公告发布的同时，</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将向中标人发出中标通知书。</w:t>
      </w:r>
    </w:p>
    <w:p w14:paraId="347C10D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（2）中标通知书发出后，采购人不得违法改变中标结果，中标人无正当理由不得放弃中标。</w:t>
      </w:r>
    </w:p>
    <w:p w14:paraId="59FA187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13、政府采购合同</w:t>
      </w:r>
    </w:p>
    <w:p w14:paraId="2E727F3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92B1FA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13.2签订时限：详见须知前附表1的13.2。</w:t>
      </w:r>
    </w:p>
    <w:p w14:paraId="1AE264C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13.3政府采购合同的履行、违约责任和解决争议的方法等适用民法典。</w:t>
      </w:r>
    </w:p>
    <w:p w14:paraId="652E9B3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13.4采购人与中标人应根据政府采购合同的约定依法履行合同义务。</w:t>
      </w:r>
    </w:p>
    <w:p w14:paraId="471B77E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13.5政府采购合同履行过程中，采购人若需追加与合同标的相同的货物或服务，则追加采购金额不得超过原合同采购金额的10%。</w:t>
      </w:r>
    </w:p>
    <w:p w14:paraId="4A53C48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13.6中标人在政府采购合同履行过程中应遵守有关法律、法规和规章的强制性规定（即使前述强制性规定有可能在招标文件中未予列明）。</w:t>
      </w:r>
    </w:p>
    <w:p w14:paraId="44DB67C4">
      <w:pPr>
        <w:pStyle w:val="16"/>
        <w:spacing w:line="360" w:lineRule="exact"/>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七、询问、质疑与投诉</w:t>
      </w:r>
    </w:p>
    <w:p w14:paraId="621A1F3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14、询问</w:t>
      </w:r>
    </w:p>
    <w:p w14:paraId="500774B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14.1潜在投标人或投标人对本次采购活动的有关事项若有疑问，可向</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提出询问，</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将按照政府采购法及实施条例的有关规定进行答复。</w:t>
      </w:r>
    </w:p>
    <w:p w14:paraId="02FFB74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15、质疑</w:t>
      </w:r>
    </w:p>
    <w:p w14:paraId="3CCB54D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61C6C3F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（1）对招标文件提出质疑的，质疑人应为潜在投标人，且两者的身份、名称等均应保持一致。对采购过程、结果提出质疑的，质疑人应为投标人，且两者的身份、名称等均应保持一致。</w:t>
      </w:r>
    </w:p>
    <w:p w14:paraId="75053EF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（2）质疑人应按照招标文件第二章规定方式提交质疑函。</w:t>
      </w:r>
    </w:p>
    <w:p w14:paraId="3867013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（3）质疑函应包括下列主要内容：</w:t>
      </w:r>
    </w:p>
    <w:p w14:paraId="200AC4F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①质疑人的基本信息，至少包括：全称、地址、邮政编码等；</w:t>
      </w:r>
    </w:p>
    <w:p w14:paraId="5763637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②所质疑项目的基本信息，至少包括：项目编号、项目名称等；</w:t>
      </w:r>
    </w:p>
    <w:p w14:paraId="6AD2AA5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③所质疑的具体事项（以下简称：“质疑事项”）；</w:t>
      </w:r>
    </w:p>
    <w:p w14:paraId="71F1749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④针对质疑事项提出的明确请求，前述明确请求指质疑人提出质疑的目的以及希望</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对其质疑作出的处理结果，如：暂停招标投标活动、修改招标文件、停止或纠正违法违规行为、中标结果无效、废标、重新招标等；</w:t>
      </w:r>
    </w:p>
    <w:p w14:paraId="00D2F43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⑤针对质疑事项导致质疑人自身权益受到损害的必要证明材料，至少包括：</w:t>
      </w:r>
    </w:p>
    <w:p w14:paraId="166FDC9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a.质疑人代表的身份证明材料：</w:t>
      </w:r>
    </w:p>
    <w:p w14:paraId="228C6A6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758B555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a2若本项目接受自然人投标且质疑人为自然人的，提供本人的身份证复印件。</w:t>
      </w:r>
    </w:p>
    <w:p w14:paraId="10B61E0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b.其他证明材料（即事实依据和必要的法律依据）包括但不限于下列材料：</w:t>
      </w:r>
    </w:p>
    <w:p w14:paraId="7386E14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b1所质疑的具体事项是与自己有利害关系的证明材料；</w:t>
      </w:r>
    </w:p>
    <w:p w14:paraId="412E164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b2质疑函所述事实存在的证明材料，如：采购文件、采购过程或中标结果违法违规或不符合采购文件要求等证明材料；</w:t>
      </w:r>
    </w:p>
    <w:p w14:paraId="1E85F22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b3依法应终止采购程序的证明材料；</w:t>
      </w:r>
    </w:p>
    <w:p w14:paraId="0513F66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b4应重新采购的证明材料；</w:t>
      </w:r>
    </w:p>
    <w:p w14:paraId="401B3F9B">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b5采购文件、采购过程或中标、成交结果损害自己合法权益的证明材料等；</w:t>
      </w:r>
    </w:p>
    <w:p w14:paraId="6267F74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64D974B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⑥质疑人代表及其联系方法的信息，至少包括：姓名、手机、电子信箱、邮寄地址等。</w:t>
      </w:r>
    </w:p>
    <w:p w14:paraId="5B1AB56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⑦提出质疑的日期。</w:t>
      </w:r>
    </w:p>
    <w:p w14:paraId="694E68C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※质疑人为法人或其他组织的，质疑函应由单位负责人或委托代理人签字或盖章，并加盖投标人的单位公章。质疑人为自然人的，质疑函应由本人签字。</w:t>
      </w:r>
    </w:p>
    <w:p w14:paraId="08566FF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15.2对不符合本章第15.1条规定的质疑，将按照下列规定进行处理：</w:t>
      </w:r>
    </w:p>
    <w:p w14:paraId="1696B4C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（1）不符合其中第（1）、（2）条规定的，书面告知质疑人不予受理及其理由。</w:t>
      </w:r>
    </w:p>
    <w:p w14:paraId="48F4977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（2）不符合其中第（3）条规定的，书面告知质疑人修改、补充后在规定时限内重新提交质疑函。</w:t>
      </w:r>
    </w:p>
    <w:p w14:paraId="541BFF9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15.3对符合本章第15.1条规定的质疑，将按照政府采购法及实施条例、政府采购质疑和投诉办法的有关规定进行答复。</w:t>
      </w:r>
    </w:p>
    <w:p w14:paraId="721B386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15.4招标文件的质疑：详见招标文件第二章。</w:t>
      </w:r>
    </w:p>
    <w:p w14:paraId="0C0C62A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16、投诉</w:t>
      </w:r>
    </w:p>
    <w:p w14:paraId="6B5DA97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1E23821">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16.2投诉应有明确的请求和必要的证明材料，投诉的事项不得超出已质疑事项的范围。</w:t>
      </w:r>
    </w:p>
    <w:p w14:paraId="12823D5E">
      <w:pPr>
        <w:pStyle w:val="16"/>
        <w:spacing w:line="360" w:lineRule="exact"/>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八、政府采购政策</w:t>
      </w:r>
    </w:p>
    <w:p w14:paraId="07223B8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17、政府采购政策由财政部根据国家的经济和社会发展政策并会同国家有关部委制定，包括但不限于下列具体政策要求：</w:t>
      </w:r>
    </w:p>
    <w:p w14:paraId="5EBD068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17.1本国产品与非本国产品相关约定</w:t>
      </w:r>
    </w:p>
    <w:p w14:paraId="09130FF3">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17.1.1本国产品</w:t>
      </w:r>
    </w:p>
    <w:p w14:paraId="508D0AD7">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国产品标准本国产品应当符合以下条件：①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a.为确保产品在运输或者储存期间保持某种状态而进行的操作；b.为产品运输或者销售进行的包装或者展示；c.在产品或者其包装上粘贴或者印刷品牌、标志、标识以及其他用于区别的标记；d.简单的上漆、磨光和分装；e.其他不属于属性改变的情形。②在中国境内生产的组件成本占比达到规定比例。具体判定标准以《国务院办公厅关于在政府采购中实施本国产品标准及相关政策的通知》以及财政部相关文件为准。③特定产品的关键组件、关键工序符合相关要求。具体判定标准以《国务院办公厅关于在政府采购中实施本国产品标准及相关政策的通知》以及财政部相关文件为准。</w:t>
      </w:r>
    </w:p>
    <w:p w14:paraId="342FB59E">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66B9A5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3E2B8792">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7D35BCB">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17.1.2 非本国产品</w:t>
      </w:r>
    </w:p>
    <w:p w14:paraId="5E7E102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17.1.2.1 进口产品：指通过中国海关报关验放进入中国境内且产自关境外的产品，其中：</w:t>
      </w:r>
    </w:p>
    <w:p w14:paraId="28FAD657">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3E5C853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（2）凡在海关特殊监管区域内企业生产或加工（包括从境外进口料件）销往境内其他地区的产品，不作为政府采购项下进口产品。</w:t>
      </w:r>
    </w:p>
    <w:p w14:paraId="0C0AF75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（3）对从境外进入海关特殊监管区域，再经办理报关手续后从海关特殊监管区进入境内其他地区的产品，认定为进口产品。</w:t>
      </w:r>
    </w:p>
    <w:p w14:paraId="450F3B3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（4）招标文件列明不允许或未列明允许进口产品参加投标的，均视为拒绝进口产品参加投标。</w:t>
      </w:r>
    </w:p>
    <w:p w14:paraId="06A3700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17.1.2.2 其它非本国产品：指非进口产品且不符合本国产品标准的产品。</w:t>
      </w:r>
    </w:p>
    <w:p w14:paraId="7C819B5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42F17BF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17.3符合财政部、工信部文件（财库〔2020〕46号）规定的</w:t>
      </w:r>
      <w:r>
        <w:rPr>
          <w:rFonts w:hint="eastAsia" w:ascii="宋体" w:hAnsi="宋体" w:eastAsia="宋体" w:cs="宋体"/>
          <w:color w:val="auto"/>
          <w:sz w:val="24"/>
          <w:szCs w:val="24"/>
          <w:highlight w:val="none"/>
        </w:rPr>
        <w:t>中小企业</w:t>
      </w:r>
      <w:r>
        <w:rPr>
          <w:rFonts w:ascii="宋体" w:hAnsi="宋体" w:eastAsia="宋体" w:cs="宋体"/>
          <w:color w:val="auto"/>
          <w:sz w:val="24"/>
          <w:szCs w:val="24"/>
          <w:highlight w:val="none"/>
        </w:rPr>
        <w:t>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3798274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（1）中小企业指符合下列条件的中型、小型、微型企业：</w:t>
      </w:r>
    </w:p>
    <w:p w14:paraId="36A656C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1A86E7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②符合中小企业划分标准的个体工商户，在政府采购活动中视同中小企业。</w:t>
      </w:r>
    </w:p>
    <w:p w14:paraId="510FCC85">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（2）在政府采购活动中，供应商提供的货物、工程或者服务符合下列情形的，享受本办法规定的中小企业扶持政策：</w:t>
      </w:r>
    </w:p>
    <w:p w14:paraId="6E4352E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①在货物采购项目中，货物由中小企业制造，即货物由中小企业生产且使用该中小企业商号或者注册商标；</w:t>
      </w:r>
    </w:p>
    <w:p w14:paraId="1BEC6F3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②在工程采购项目中，工程由中小企业承建，即工程施工单位为中小企业；</w:t>
      </w:r>
    </w:p>
    <w:p w14:paraId="501F6D5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③在服务采购项目中，服务由中小企业承接，即提供服务的人员为中小企业依照《中华人民共和国劳动合同法》订立劳动合同的从业人员。</w:t>
      </w:r>
    </w:p>
    <w:p w14:paraId="35770F4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在货物采购项目中，供应商提供的货物既有中小企业制造货物，也有大型企业制造货物的，不享受本办法规定的中小企业扶持政策。</w:t>
      </w:r>
    </w:p>
    <w:p w14:paraId="38F84F5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14:paraId="36DB145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（3）投标人应当按照招标文件明确的采购标的对应行业的划分标准出具中小企业声明函。</w:t>
      </w:r>
    </w:p>
    <w:p w14:paraId="4900C63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0AF7E25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3B7FF0D">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①监狱企业参加采购活动时，应提供由省级以上监狱管理局、戒毒管理局（含新疆生产建设兵团）出具的属于监狱企业的证明文件。</w:t>
      </w:r>
    </w:p>
    <w:p w14:paraId="4B68AC1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②监狱企业视同小型、微型企业。</w:t>
      </w:r>
    </w:p>
    <w:p w14:paraId="14F7F6F3">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（5）残疾人福利性单位指同时符合下列条件的单位：</w:t>
      </w:r>
    </w:p>
    <w:p w14:paraId="41E155C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①安置的残疾人占本单位在职职工人数的比例不低于25%（含25%），并且安置的残疾人人数不少于10人（含10人）；</w:t>
      </w:r>
    </w:p>
    <w:p w14:paraId="3FFC5714">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②依法与安置的每位残疾人签订了一年以上（含一年）的劳动合同或服务协议；</w:t>
      </w:r>
    </w:p>
    <w:p w14:paraId="47EAF24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③为安置的每位残疾人按月足额缴纳了基本养老保险、基本医疗保险、失业保险、工伤保险和生育保险等社会保险费；</w:t>
      </w:r>
    </w:p>
    <w:p w14:paraId="7D416CB0">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④通过银行等金融机构向安置的每位残疾人，按月支付了不低于单位所在区县适用的经省级人民政府批准的月最低工资标准的工资；</w:t>
      </w:r>
    </w:p>
    <w:p w14:paraId="6D90085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⑤提供本单位制造的货物、承担的工程或服务，或提供其他残疾人福利性单位制造的货物（不包括使用非残疾人福利性单位注册商标的货物）。</w:t>
      </w:r>
    </w:p>
    <w:p w14:paraId="1508E7C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1973627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2466966A">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17.4信用记录指由财政部确定的有关网站提供的相关主体信用信息。信用记录的查询及使用应符合财政部文件（财库[2016]125号）规定。</w:t>
      </w:r>
    </w:p>
    <w:p w14:paraId="3B7C5228">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17.5为落实政府采购政策需满足的要求：详见招标文件第一章。</w:t>
      </w:r>
    </w:p>
    <w:p w14:paraId="0FFA53F9">
      <w:pPr>
        <w:pStyle w:val="16"/>
        <w:spacing w:line="360" w:lineRule="exact"/>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九、本项目的有关信息</w:t>
      </w:r>
    </w:p>
    <w:p w14:paraId="61A8F83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18、本项目的有关信息，包括但不限于：招标公告、更正公告（若有）、招标文件、招标文件的澄清或修改（若有）、中标公告、终止公告（若有）、废标公告（若有）等都将在招标文件载明的指定媒体发布。</w:t>
      </w:r>
    </w:p>
    <w:p w14:paraId="6213D2CE">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18.1指定媒体：详见招标文件第二章。</w:t>
      </w:r>
    </w:p>
    <w:p w14:paraId="6C039146">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18.2本项目的潜在投标人或投标人应随时关注指定媒体，否则产生不利后果由其自行承担。</w:t>
      </w:r>
    </w:p>
    <w:p w14:paraId="1AB35F7B">
      <w:pPr>
        <w:pStyle w:val="16"/>
        <w:spacing w:line="360" w:lineRule="exact"/>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十、其他事项</w:t>
      </w:r>
    </w:p>
    <w:p w14:paraId="65D9B772">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19、其他事项：</w:t>
      </w:r>
    </w:p>
    <w:p w14:paraId="4F4959B9">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33DC2D2C">
      <w:pPr>
        <w:pStyle w:val="16"/>
        <w:spacing w:line="36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19.2其他：详见招标文件第二章。</w:t>
      </w:r>
    </w:p>
    <w:p w14:paraId="0DD0AC03">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C61E51E">
      <w:pPr>
        <w:pStyle w:val="16"/>
        <w:jc w:val="center"/>
        <w:outlineLvl w:val="1"/>
        <w:rPr>
          <w:rFonts w:hint="default" w:ascii="宋体" w:hAnsi="宋体" w:eastAsia="宋体" w:cs="宋体"/>
          <w:color w:val="auto"/>
          <w:sz w:val="24"/>
          <w:szCs w:val="24"/>
          <w:highlight w:val="none"/>
        </w:rPr>
      </w:pPr>
      <w:r>
        <w:rPr>
          <w:rFonts w:ascii="宋体" w:hAnsi="宋体" w:eastAsia="宋体" w:cs="宋体"/>
          <w:b/>
          <w:color w:val="auto"/>
          <w:sz w:val="32"/>
          <w:szCs w:val="32"/>
          <w:highlight w:val="none"/>
        </w:rPr>
        <w:t>第四章 资格审查与评标</w:t>
      </w:r>
    </w:p>
    <w:p w14:paraId="757B0D1F">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一、资格审查</w:t>
      </w:r>
    </w:p>
    <w:p w14:paraId="0A6D81F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1、开标结束后，由</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负责资格审查小组的组建及资格审查工作的组织。</w:t>
      </w:r>
    </w:p>
    <w:p w14:paraId="1F782191">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1.1资格审查小组</w:t>
      </w:r>
    </w:p>
    <w:p w14:paraId="243F70A8">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资格审查小组由3人组成，并负责具体审查事务，其中由采购人派出的采购人代表至少1人，由</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派出的工作人员至少1人，其余1人可为采购人代表或</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的工作人员。</w:t>
      </w:r>
    </w:p>
    <w:p w14:paraId="4040F5ED">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1.2资格审查的依据是招标文件和电子投标文件。</w:t>
      </w:r>
    </w:p>
    <w:p w14:paraId="0BBF0433">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1.3资格审查的范围及内容：电子投标文件（资格及资信证明部分），具体如下：</w:t>
      </w:r>
    </w:p>
    <w:p w14:paraId="15CCF45D">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（1）“投标函”；</w:t>
      </w:r>
    </w:p>
    <w:p w14:paraId="52B6379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（2）“投标人的资格及资信证明文件”</w:t>
      </w:r>
    </w:p>
    <w:p w14:paraId="0C348346">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①一般资格证明文件：</w:t>
      </w:r>
    </w:p>
    <w:p w14:paraId="4C22E80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1"/>
        <w:tblW w:w="490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5"/>
        <w:gridCol w:w="2261"/>
        <w:gridCol w:w="5754"/>
      </w:tblGrid>
      <w:tr w14:paraId="7F5EF9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15" w:hRule="atLeast"/>
        </w:trPr>
        <w:tc>
          <w:tcPr>
            <w:tcW w:w="482" w:type="pct"/>
          </w:tcPr>
          <w:p w14:paraId="6B2845D4">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274" w:type="pct"/>
          </w:tcPr>
          <w:p w14:paraId="19BCF040">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资格审查要求概况</w:t>
            </w:r>
          </w:p>
        </w:tc>
        <w:tc>
          <w:tcPr>
            <w:tcW w:w="3242" w:type="pct"/>
          </w:tcPr>
          <w:p w14:paraId="05C5F933">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评审点具体描述</w:t>
            </w:r>
          </w:p>
        </w:tc>
      </w:tr>
      <w:tr w14:paraId="192CB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61738142">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274" w:type="pct"/>
            <w:vAlign w:val="center"/>
          </w:tcPr>
          <w:p w14:paraId="36E3D6CD">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单位授权书</w:t>
            </w:r>
          </w:p>
        </w:tc>
        <w:tc>
          <w:tcPr>
            <w:tcW w:w="3242" w:type="pct"/>
          </w:tcPr>
          <w:p w14:paraId="3E165DC6">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②投标人为自然人的，可不填写本授权书。</w:t>
            </w:r>
          </w:p>
        </w:tc>
      </w:tr>
      <w:tr w14:paraId="197BCA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5B9A3F78">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274" w:type="pct"/>
            <w:vAlign w:val="center"/>
          </w:tcPr>
          <w:p w14:paraId="16F689B1">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营业执照等证明文件</w:t>
            </w:r>
          </w:p>
        </w:tc>
        <w:tc>
          <w:tcPr>
            <w:tcW w:w="3242" w:type="pct"/>
          </w:tcPr>
          <w:p w14:paraId="0A62CACF">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E8B6D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07440EA7">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274" w:type="pct"/>
            <w:vAlign w:val="center"/>
          </w:tcPr>
          <w:p w14:paraId="64AF0730">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提供财务状况报告(财务报告、或资信证明）</w:t>
            </w:r>
          </w:p>
        </w:tc>
        <w:tc>
          <w:tcPr>
            <w:tcW w:w="3242" w:type="pct"/>
          </w:tcPr>
          <w:p w14:paraId="3D4864A1">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提供的财务报告复印件（成立年限按照投标截止时间推算）应符合下列规定：a.成立年限满1年及以上的投标人，提供经审计的上一年度的年度财务报告。b.成立年限满半年但不足1年的投标人，提供该半年度中任一季度的季度财务报告或该半年度的半年度财务报告。c.无法按照以上a、b项规定提供财务报告复印件的投标人（包括但不限于：成立年限满1年及以上的投标人、成立年限满半年但不足1年的投标人、成立年限不足半年的投标人），应选择提供资信证明复印件。</w:t>
            </w:r>
          </w:p>
        </w:tc>
      </w:tr>
      <w:tr w14:paraId="12715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3EA57128">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1274" w:type="pct"/>
            <w:vAlign w:val="center"/>
          </w:tcPr>
          <w:p w14:paraId="7D62C2C1">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依法缴纳税收证明材料</w:t>
            </w:r>
          </w:p>
        </w:tc>
        <w:tc>
          <w:tcPr>
            <w:tcW w:w="3242" w:type="pct"/>
          </w:tcPr>
          <w:p w14:paraId="63B480EA">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提供的税收缴纳凭据复印件应符合下列规定：a.投标截止时间前（不含投标截止时间的当月）已依法缴纳税收的投标人，提供投标截止时间前六个月（不含投标截止时间的当月）中任一月份的税收缴纳凭据复印件。b.投标截止时间的当月成立的投标人，视同满足本项资格条件要求。c.若为依法免税范围的投标人，提供依法免税证明材料的，视同满足本项资格条件要求。</w:t>
            </w:r>
          </w:p>
        </w:tc>
      </w:tr>
      <w:tr w14:paraId="6B903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36D6492F">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1274" w:type="pct"/>
            <w:vAlign w:val="center"/>
          </w:tcPr>
          <w:p w14:paraId="0971174B">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依法缴纳社会保障资金证明材料</w:t>
            </w:r>
          </w:p>
        </w:tc>
        <w:tc>
          <w:tcPr>
            <w:tcW w:w="3242" w:type="pct"/>
          </w:tcPr>
          <w:p w14:paraId="4116D71A">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提供的社会保障资金缴纳凭据复印件应符合下列规定：a.投标截止时间前（不含投标截止时间的当月）已依法缴纳社会保障资金的投标人，提供投标截止时间前六个月（不含投标截止时间的当月）中任一月份的社会保障资金缴纳凭据复印件。b.投标截止时间的当月成立的投标人，视同满足本项资格条件要求。c.若为依法不需要缴纳或暂缓缴纳社会保障资金的投标人，提供依法不需要缴纳或暂缓缴纳社会保障资金证明材料的，视同满足本项资格条件要求。</w:t>
            </w:r>
          </w:p>
        </w:tc>
      </w:tr>
      <w:tr w14:paraId="1EB45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0F5468E5">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1274" w:type="pct"/>
            <w:vAlign w:val="center"/>
          </w:tcPr>
          <w:p w14:paraId="39E12ED2">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具备履行合同所必需设备和专业技术能力的声明函(若有)</w:t>
            </w:r>
          </w:p>
        </w:tc>
        <w:tc>
          <w:tcPr>
            <w:tcW w:w="3242" w:type="pct"/>
          </w:tcPr>
          <w:p w14:paraId="549F7962">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招标文件未要求投标人提供“具备履行合同所必需的设备和专业技术能力专项证明材料”的，投标人应提供本声明函。②招标文件要求投标人提供“具备履行合同所必需的设备和专业技术能力专项证明材料”的，投标人可不提供本声明函。</w:t>
            </w:r>
          </w:p>
        </w:tc>
      </w:tr>
      <w:tr w14:paraId="2DADC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4E805712">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1274" w:type="pct"/>
            <w:vAlign w:val="center"/>
          </w:tcPr>
          <w:p w14:paraId="447FB935">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参加采购活动前三年内在经营活动中没有重大违法记录的声明</w:t>
            </w:r>
          </w:p>
        </w:tc>
        <w:tc>
          <w:tcPr>
            <w:tcW w:w="3242" w:type="pct"/>
          </w:tcPr>
          <w:p w14:paraId="04B878B4">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A41D9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49AD9951">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1274" w:type="pct"/>
            <w:vAlign w:val="center"/>
          </w:tcPr>
          <w:p w14:paraId="696D899E">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信用记录查询结果</w:t>
            </w:r>
          </w:p>
        </w:tc>
        <w:tc>
          <w:tcPr>
            <w:tcW w:w="3242" w:type="pct"/>
          </w:tcPr>
          <w:p w14:paraId="291FF08A">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信用记录查询的截止时点：信用记录查询的截止时点为本项目投标截止当日。②信用记录查询渠道：信用中国（www.creditchina.gov.cn）、中国政府采购网（www.ccgp.gov.cn）。③信用记录的查询：由资格审查小组通过上述网站查询并打印投标人的信用记录。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625C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6C168966">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9</w:t>
            </w:r>
          </w:p>
        </w:tc>
        <w:tc>
          <w:tcPr>
            <w:tcW w:w="1274" w:type="pct"/>
            <w:vAlign w:val="center"/>
          </w:tcPr>
          <w:p w14:paraId="1C20B1C5">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中小企业声明函（以资格条件落实中小企业扶持政策时适用 ）</w:t>
            </w:r>
          </w:p>
        </w:tc>
        <w:tc>
          <w:tcPr>
            <w:tcW w:w="3242" w:type="pct"/>
          </w:tcPr>
          <w:p w14:paraId="5FEA5A9A">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08BB4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2" w:type="pct"/>
            <w:vAlign w:val="center"/>
          </w:tcPr>
          <w:p w14:paraId="778209FF">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w:t>
            </w:r>
          </w:p>
        </w:tc>
        <w:tc>
          <w:tcPr>
            <w:tcW w:w="1274" w:type="pct"/>
            <w:vAlign w:val="center"/>
          </w:tcPr>
          <w:p w14:paraId="0A14434A">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联合体协议（若有）</w:t>
            </w:r>
          </w:p>
        </w:tc>
        <w:tc>
          <w:tcPr>
            <w:tcW w:w="3242" w:type="pct"/>
          </w:tcPr>
          <w:p w14:paraId="1DDBCBBE">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①招标文件接受联合体投标且投标人为联合体的，投标人应提供本协议；否则无须提供。②本协议由委托代理人签字或盖章的，应按照招标文件第七章载明的格式提供“单位授权书”。</w:t>
            </w:r>
          </w:p>
        </w:tc>
      </w:tr>
    </w:tbl>
    <w:p w14:paraId="40D2684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※备注说明</w:t>
      </w:r>
    </w:p>
    <w:p w14:paraId="3F28A54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①投标人应根据自身实际情况提供上述资格要求的证明材料，格式可参考招标文件第七章提供。</w:t>
      </w:r>
    </w:p>
    <w:p w14:paraId="14132FA4">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②投标人提供的相应证明材料复印件均应符合：内容完整、清晰、整洁，并由投标人加盖其单位公章。</w:t>
      </w:r>
    </w:p>
    <w:p w14:paraId="07580B4E">
      <w:pPr>
        <w:pStyle w:val="16"/>
        <w:keepNext w:val="0"/>
        <w:keepLines w:val="0"/>
        <w:pageBreakBefore w:val="0"/>
        <w:widowControl/>
        <w:kinsoku/>
        <w:wordWrap/>
        <w:overflowPunct/>
        <w:topLinePunct w:val="0"/>
        <w:autoSpaceDE/>
        <w:autoSpaceDN/>
        <w:bidi w:val="0"/>
        <w:adjustRightInd/>
        <w:snapToGrid/>
        <w:spacing w:line="340" w:lineRule="atLeast"/>
        <w:ind w:firstLine="48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③根据招标文件第四章第一点资格审查的1.3“④其他资格证明文件”要求，允许供应商采用资格承诺制的并提供符合要求的资格承诺函，视为满足招标文件的资格要求。</w:t>
      </w:r>
    </w:p>
    <w:p w14:paraId="703BB2C0">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④.其他资格证明文件：</w:t>
      </w:r>
    </w:p>
    <w:p w14:paraId="15E75430">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1"/>
        <w:tblW w:w="495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124"/>
        <w:gridCol w:w="5832"/>
      </w:tblGrid>
      <w:tr w14:paraId="7FB17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5" w:hRule="atLeast"/>
        </w:trPr>
        <w:tc>
          <w:tcPr>
            <w:tcW w:w="1744" w:type="pct"/>
          </w:tcPr>
          <w:p w14:paraId="6A489893">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资格审查要求概况</w:t>
            </w:r>
          </w:p>
        </w:tc>
        <w:tc>
          <w:tcPr>
            <w:tcW w:w="3255" w:type="pct"/>
          </w:tcPr>
          <w:p w14:paraId="10775298">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评审点具体描述</w:t>
            </w:r>
          </w:p>
        </w:tc>
      </w:tr>
      <w:tr w14:paraId="13134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44" w:type="pct"/>
            <w:vAlign w:val="center"/>
          </w:tcPr>
          <w:p w14:paraId="210FE511">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3255" w:type="pct"/>
          </w:tcPr>
          <w:p w14:paraId="60DE5A96">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4A66EE3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（3）投标保证金。</w:t>
      </w:r>
    </w:p>
    <w:p w14:paraId="313FC30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1.4有下列情形之一的，资格审查不合格：</w:t>
      </w:r>
    </w:p>
    <w:p w14:paraId="682FEFB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p>
    <w:tbl>
      <w:tblPr>
        <w:tblStyle w:val="11"/>
        <w:tblW w:w="494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29"/>
      </w:tblGrid>
      <w:tr w14:paraId="7E986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1922DA6B">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14:paraId="64AB8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3A24D2E">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未按照招标文件规定提交投标函</w:t>
            </w:r>
          </w:p>
        </w:tc>
      </w:tr>
      <w:tr w14:paraId="00FB2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77DE3CE">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未按照招标文件规定提交投标人的资格及资信文件</w:t>
            </w:r>
          </w:p>
        </w:tc>
      </w:tr>
      <w:tr w14:paraId="3F503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3D071CA">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未按照招标文件规定提交投标保证金</w:t>
            </w:r>
          </w:p>
        </w:tc>
      </w:tr>
    </w:tbl>
    <w:p w14:paraId="7CFA5ECD">
      <w:pPr>
        <w:pStyle w:val="16"/>
        <w:keepNext w:val="0"/>
        <w:keepLines w:val="0"/>
        <w:pageBreakBefore w:val="0"/>
        <w:widowControl/>
        <w:kinsoku/>
        <w:wordWrap/>
        <w:overflowPunct/>
        <w:topLinePunct w:val="0"/>
        <w:autoSpaceDE/>
        <w:autoSpaceDN/>
        <w:bidi w:val="0"/>
        <w:adjustRightInd/>
        <w:snapToGrid/>
        <w:spacing w:line="340" w:lineRule="atLeast"/>
        <w:ind w:firstLine="48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6CEF256A">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资格审查不合格项：</w:t>
      </w:r>
    </w:p>
    <w:tbl>
      <w:tblPr>
        <w:tblStyle w:val="11"/>
        <w:tblW w:w="495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46"/>
        <w:gridCol w:w="6600"/>
      </w:tblGrid>
      <w:tr w14:paraId="1B207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0" w:hRule="atLeast"/>
        </w:trPr>
        <w:tc>
          <w:tcPr>
            <w:tcW w:w="1311" w:type="pct"/>
            <w:vAlign w:val="center"/>
          </w:tcPr>
          <w:p w14:paraId="64EC247A">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情形</w:t>
            </w:r>
          </w:p>
        </w:tc>
        <w:tc>
          <w:tcPr>
            <w:tcW w:w="3688" w:type="pct"/>
            <w:vAlign w:val="center"/>
          </w:tcPr>
          <w:p w14:paraId="7EE52642">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明细</w:t>
            </w:r>
          </w:p>
        </w:tc>
      </w:tr>
      <w:tr w14:paraId="4FA2E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11" w:type="pct"/>
            <w:vAlign w:val="center"/>
          </w:tcPr>
          <w:p w14:paraId="19E7F749">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其他情形</w:t>
            </w:r>
          </w:p>
        </w:tc>
        <w:tc>
          <w:tcPr>
            <w:tcW w:w="3688" w:type="pct"/>
            <w:vAlign w:val="center"/>
          </w:tcPr>
          <w:p w14:paraId="5B4A318A">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（1）资格及资信证明部分中不得出现报价部分的全部或部分的投标报价信息（或组成资料），否则资格审查不合格；(2)出现招标文件中载明“资格审查不合格”条款的规定。</w:t>
            </w:r>
          </w:p>
        </w:tc>
      </w:tr>
    </w:tbl>
    <w:p w14:paraId="3140964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7A652A06">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2、资格审查情况不得私自外泄，有关信息由</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统一对外发布。</w:t>
      </w:r>
    </w:p>
    <w:p w14:paraId="2FF087A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3、资格审查合格的投标人不足三家的，不进行评标。同时，本次采购活动结束，</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将依法组织后续采购活动（包括但不限于：重新招标、采用其他方式采购等）。</w:t>
      </w:r>
    </w:p>
    <w:p w14:paraId="07D96438">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二、评标</w:t>
      </w:r>
    </w:p>
    <w:p w14:paraId="526E993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4、资格审查结束后，由</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负责评标委员会的组建及评标工作的组织。</w:t>
      </w:r>
    </w:p>
    <w:p w14:paraId="10617B68">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5、评标委员会</w:t>
      </w:r>
    </w:p>
    <w:p w14:paraId="63401E7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由采购人代表和评审专家两部分共5人组成，其中由福建省政府采购评审专家库产生的评审专家4人，由采购人派出的采购人代表1人。</w:t>
      </w:r>
    </w:p>
    <w:p w14:paraId="65A36D83">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5.2评标委员会负责具体评标事务，并按照下列原则依法独立履行有关职责：</w:t>
      </w:r>
    </w:p>
    <w:p w14:paraId="163D36FC">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（1）评标应保护国家利益、社会公共利益和各方当事人合法权益，提高采购效益，保证项目质量。</w:t>
      </w:r>
    </w:p>
    <w:p w14:paraId="53B609F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（2）评标应遵循公平、公正、科学、严谨和择优原则。</w:t>
      </w:r>
    </w:p>
    <w:p w14:paraId="5A420F3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（3）评标的依据是招标文件和电子投标文件。</w:t>
      </w:r>
    </w:p>
    <w:p w14:paraId="4080A813">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（4）应按照招标文件规定推荐中标候选人或确定中标人。</w:t>
      </w:r>
    </w:p>
    <w:p w14:paraId="4770831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（5）评标应遵守下列评标纪律：</w:t>
      </w:r>
    </w:p>
    <w:p w14:paraId="0211ED6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①评标情况不得私自外泄，有关信息由</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统一对外发布。</w:t>
      </w:r>
    </w:p>
    <w:p w14:paraId="20B2230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②对</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或投标人提供的要求保密的资料，不得摘记翻印和外传。</w:t>
      </w:r>
    </w:p>
    <w:p w14:paraId="2B8AAD8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③不得收受投标人或有关人员的任何礼物，不得串联鼓动其他人袒护某投标人。若与投标人存在利害关系，则应主动声明并回避。</w:t>
      </w:r>
    </w:p>
    <w:p w14:paraId="420B6BE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④全体评委应按照招标文件规定进行评标，一切认定事项应查有实据且不得弄虚作假。</w:t>
      </w:r>
    </w:p>
    <w:p w14:paraId="0E3417B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⑤评标中应充分发扬民主，推荐中标候选人或确定中标人后要服从评标报告。</w:t>
      </w:r>
    </w:p>
    <w:p w14:paraId="6A784434">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※对违反评标纪律的评委，将取消其评委资格，对评标工作造成严重损失者将予以通报批评乃至追究法律责任。</w:t>
      </w:r>
    </w:p>
    <w:p w14:paraId="29047B50">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6、评标程序</w:t>
      </w:r>
    </w:p>
    <w:p w14:paraId="6EA68DA1">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6.1评标前的准备工作</w:t>
      </w:r>
    </w:p>
    <w:p w14:paraId="33C9EA40">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（1）全体评委应认真审阅招标文件，了解评委应履行或遵守的职责、义务和评标纪律。</w:t>
      </w:r>
    </w:p>
    <w:p w14:paraId="778069AD">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02BD3119">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6.2符合性审查</w:t>
      </w:r>
    </w:p>
    <w:p w14:paraId="51140C3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（1）评标委员会依据招标文件的实质性要求，对通过资格审查的电子投标文件进行符合性审查，以确定其是否满足招标文件的实质性要求。</w:t>
      </w:r>
    </w:p>
    <w:p w14:paraId="19735063">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（2）满足招标文件的实质性要求指电子投标文件对招标文件实质性要求的响应不存在重大偏差或保留。</w:t>
      </w:r>
    </w:p>
    <w:p w14:paraId="02A783F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9F5A9B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3803AF5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（5）评标委员会对所有投标人都执行相同的程序和标准。</w:t>
      </w:r>
    </w:p>
    <w:p w14:paraId="2A6B58A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（6）有下列情形之一的，符合性审查不合格：</w:t>
      </w:r>
    </w:p>
    <w:p w14:paraId="647CA20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①项目一般情形：</w:t>
      </w:r>
    </w:p>
    <w:p w14:paraId="58A77AD7">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7"/>
        <w:gridCol w:w="2193"/>
        <w:gridCol w:w="5921"/>
      </w:tblGrid>
      <w:tr w14:paraId="276FCA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7" w:type="dxa"/>
          </w:tcPr>
          <w:p w14:paraId="4EA85A02">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193" w:type="dxa"/>
          </w:tcPr>
          <w:p w14:paraId="163598A7">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符合审查要求概况</w:t>
            </w:r>
          </w:p>
        </w:tc>
        <w:tc>
          <w:tcPr>
            <w:tcW w:w="5921" w:type="dxa"/>
          </w:tcPr>
          <w:p w14:paraId="20DA9BF4">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评审点具体描述</w:t>
            </w:r>
          </w:p>
        </w:tc>
      </w:tr>
      <w:tr w14:paraId="1C626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7" w:type="dxa"/>
            <w:vAlign w:val="center"/>
          </w:tcPr>
          <w:p w14:paraId="61945D0E">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193" w:type="dxa"/>
            <w:vAlign w:val="center"/>
          </w:tcPr>
          <w:p w14:paraId="675CE69C">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情形1</w:t>
            </w:r>
          </w:p>
        </w:tc>
        <w:tc>
          <w:tcPr>
            <w:tcW w:w="5921" w:type="dxa"/>
          </w:tcPr>
          <w:p w14:paraId="0BECA3D9">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违反招标文件中载明“投标无效”条款的规定；</w:t>
            </w:r>
          </w:p>
        </w:tc>
      </w:tr>
      <w:tr w14:paraId="07F07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7" w:type="dxa"/>
            <w:vAlign w:val="center"/>
          </w:tcPr>
          <w:p w14:paraId="31B872B9">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2193" w:type="dxa"/>
            <w:vAlign w:val="center"/>
          </w:tcPr>
          <w:p w14:paraId="08D16146">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情形2</w:t>
            </w:r>
          </w:p>
        </w:tc>
        <w:tc>
          <w:tcPr>
            <w:tcW w:w="5921" w:type="dxa"/>
          </w:tcPr>
          <w:p w14:paraId="5B0C4642">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属于招标文件第三章第10.12条规定的投标无效情形；</w:t>
            </w:r>
          </w:p>
        </w:tc>
      </w:tr>
      <w:tr w14:paraId="31EF7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7" w:type="dxa"/>
            <w:vAlign w:val="center"/>
          </w:tcPr>
          <w:p w14:paraId="5331358B">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2193" w:type="dxa"/>
            <w:vAlign w:val="center"/>
          </w:tcPr>
          <w:p w14:paraId="30DA7C94">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情形3</w:t>
            </w:r>
          </w:p>
        </w:tc>
        <w:tc>
          <w:tcPr>
            <w:tcW w:w="5921" w:type="dxa"/>
          </w:tcPr>
          <w:p w14:paraId="622894F1">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投标文件对招标文件实质性要求的响应存在重大偏离或保留。</w:t>
            </w:r>
          </w:p>
        </w:tc>
      </w:tr>
    </w:tbl>
    <w:p w14:paraId="1781DBC3">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②本项目规定的其他情形：</w:t>
      </w:r>
    </w:p>
    <w:p w14:paraId="1F0C5696">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58CE083A">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技术符合性</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41"/>
        <w:gridCol w:w="6645"/>
      </w:tblGrid>
      <w:tr w14:paraId="2F302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0" w:hRule="atLeast"/>
        </w:trPr>
        <w:tc>
          <w:tcPr>
            <w:tcW w:w="2241" w:type="dxa"/>
            <w:vAlign w:val="center"/>
          </w:tcPr>
          <w:p w14:paraId="70DEA987">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情形</w:t>
            </w:r>
          </w:p>
        </w:tc>
        <w:tc>
          <w:tcPr>
            <w:tcW w:w="6645" w:type="dxa"/>
            <w:vAlign w:val="center"/>
          </w:tcPr>
          <w:p w14:paraId="52EFE8CD">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明细</w:t>
            </w:r>
          </w:p>
        </w:tc>
      </w:tr>
      <w:tr w14:paraId="20FDA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1" w:type="dxa"/>
            <w:vAlign w:val="center"/>
          </w:tcPr>
          <w:p w14:paraId="5576F355">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6645" w:type="dxa"/>
            <w:vAlign w:val="center"/>
          </w:tcPr>
          <w:p w14:paraId="155BAF9E">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bCs/>
                <w:color w:val="auto"/>
                <w:sz w:val="24"/>
                <w:szCs w:val="24"/>
                <w:highlight w:val="none"/>
                <w:lang w:eastAsia="zh-CN"/>
              </w:rPr>
              <w:t>(1)</w:t>
            </w:r>
            <w:r>
              <w:rPr>
                <w:rFonts w:ascii="宋体" w:hAnsi="宋体" w:eastAsia="宋体" w:cs="宋体"/>
                <w:bCs/>
                <w:color w:val="auto"/>
                <w:sz w:val="24"/>
                <w:szCs w:val="24"/>
                <w:highlight w:val="none"/>
              </w:rPr>
              <w:t>未按照招标文件规定要求签署、盖章的；</w:t>
            </w:r>
            <w:r>
              <w:rPr>
                <w:rFonts w:ascii="宋体" w:hAnsi="宋体" w:eastAsia="宋体" w:cs="宋体"/>
                <w:bCs/>
                <w:color w:val="auto"/>
                <w:sz w:val="24"/>
                <w:szCs w:val="24"/>
                <w:highlight w:val="none"/>
                <w:lang w:eastAsia="zh-CN"/>
              </w:rPr>
              <w:t>(2)</w:t>
            </w:r>
            <w:r>
              <w:rPr>
                <w:rFonts w:ascii="宋体" w:hAnsi="宋体" w:eastAsia="宋体" w:cs="宋体"/>
                <w:bCs/>
                <w:color w:val="auto"/>
                <w:sz w:val="24"/>
                <w:szCs w:val="24"/>
                <w:highlight w:val="none"/>
              </w:rPr>
              <w:t>不符合招标文件中规定的实质性要求和条件、无效投标条款的；</w:t>
            </w:r>
            <w:r>
              <w:rPr>
                <w:rFonts w:ascii="宋体" w:hAnsi="宋体" w:eastAsia="宋体" w:cs="宋体"/>
                <w:bCs/>
                <w:color w:val="auto"/>
                <w:sz w:val="24"/>
                <w:szCs w:val="24"/>
                <w:highlight w:val="none"/>
                <w:lang w:eastAsia="zh-CN"/>
              </w:rPr>
              <w:t>(3)</w:t>
            </w:r>
            <w:r>
              <w:rPr>
                <w:rFonts w:ascii="宋体" w:hAnsi="宋体" w:eastAsia="宋体" w:cs="宋体"/>
                <w:bCs/>
                <w:color w:val="auto"/>
                <w:sz w:val="24"/>
                <w:szCs w:val="24"/>
                <w:highlight w:val="none"/>
              </w:rPr>
              <w:t>属于招标文件规定的符合性审查不合格情形；</w:t>
            </w:r>
            <w:r>
              <w:rPr>
                <w:rFonts w:ascii="宋体" w:hAnsi="宋体" w:eastAsia="宋体" w:cs="宋体"/>
                <w:bCs/>
                <w:color w:val="auto"/>
                <w:sz w:val="24"/>
                <w:szCs w:val="24"/>
                <w:highlight w:val="none"/>
                <w:lang w:eastAsia="zh-CN"/>
              </w:rPr>
              <w:t>(4)</w:t>
            </w:r>
            <w:r>
              <w:rPr>
                <w:rFonts w:ascii="宋体" w:hAnsi="宋体" w:eastAsia="宋体" w:cs="宋体"/>
                <w:bCs/>
                <w:color w:val="auto"/>
                <w:sz w:val="24"/>
                <w:szCs w:val="24"/>
                <w:highlight w:val="none"/>
              </w:rPr>
              <w:t>属于招标文件规定评标委员会应否决其投标的情形；</w:t>
            </w:r>
            <w:r>
              <w:rPr>
                <w:rFonts w:ascii="宋体" w:hAnsi="宋体" w:eastAsia="宋体" w:cs="宋体"/>
                <w:bCs/>
                <w:color w:val="auto"/>
                <w:sz w:val="24"/>
                <w:szCs w:val="24"/>
                <w:highlight w:val="none"/>
                <w:lang w:eastAsia="zh-CN"/>
              </w:rPr>
              <w:t>(5)</w:t>
            </w:r>
            <w:r>
              <w:rPr>
                <w:rFonts w:ascii="宋体" w:hAnsi="宋体" w:eastAsia="宋体" w:cs="宋体"/>
                <w:bCs/>
                <w:color w:val="auto"/>
                <w:sz w:val="24"/>
                <w:szCs w:val="24"/>
                <w:highlight w:val="none"/>
              </w:rPr>
              <w:t>投标文件的技术部分中出现报价部分的全部或部分的投标报价信息(或组成资料)</w:t>
            </w:r>
            <w:r>
              <w:rPr>
                <w:rFonts w:ascii="宋体" w:hAnsi="宋体" w:eastAsia="宋体" w:cs="宋体"/>
                <w:bCs/>
                <w:color w:val="auto"/>
                <w:sz w:val="24"/>
                <w:szCs w:val="24"/>
                <w:highlight w:val="none"/>
                <w:lang w:eastAsia="zh-CN"/>
              </w:rPr>
              <w:t>。</w:t>
            </w:r>
          </w:p>
        </w:tc>
      </w:tr>
    </w:tbl>
    <w:p w14:paraId="510B9D88">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商务符合性</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56"/>
        <w:gridCol w:w="6630"/>
      </w:tblGrid>
      <w:tr w14:paraId="69E0D5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0" w:hRule="atLeast"/>
        </w:trPr>
        <w:tc>
          <w:tcPr>
            <w:tcW w:w="2256" w:type="dxa"/>
          </w:tcPr>
          <w:p w14:paraId="0A4DCD4C">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情形</w:t>
            </w:r>
          </w:p>
        </w:tc>
        <w:tc>
          <w:tcPr>
            <w:tcW w:w="6630" w:type="dxa"/>
          </w:tcPr>
          <w:p w14:paraId="4A29F974">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明细</w:t>
            </w:r>
          </w:p>
        </w:tc>
      </w:tr>
      <w:tr w14:paraId="4E38F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56" w:type="dxa"/>
            <w:vAlign w:val="center"/>
          </w:tcPr>
          <w:p w14:paraId="1CE01231">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6630" w:type="dxa"/>
          </w:tcPr>
          <w:p w14:paraId="7EE8EC09">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bCs/>
                <w:color w:val="auto"/>
                <w:sz w:val="24"/>
                <w:szCs w:val="24"/>
                <w:highlight w:val="none"/>
                <w:lang w:eastAsia="zh-CN"/>
              </w:rPr>
              <w:t>(1)</w:t>
            </w:r>
            <w:r>
              <w:rPr>
                <w:rFonts w:ascii="宋体" w:hAnsi="宋体" w:eastAsia="宋体" w:cs="宋体"/>
                <w:bCs/>
                <w:color w:val="auto"/>
                <w:sz w:val="24"/>
                <w:szCs w:val="24"/>
                <w:highlight w:val="none"/>
              </w:rPr>
              <w:t>未按照招标文件规定要求签署、盖章的；</w:t>
            </w:r>
            <w:r>
              <w:rPr>
                <w:rFonts w:ascii="宋体" w:hAnsi="宋体" w:eastAsia="宋体" w:cs="宋体"/>
                <w:bCs/>
                <w:color w:val="auto"/>
                <w:sz w:val="24"/>
                <w:szCs w:val="24"/>
                <w:highlight w:val="none"/>
                <w:lang w:eastAsia="zh-CN"/>
              </w:rPr>
              <w:t>(2)</w:t>
            </w:r>
            <w:r>
              <w:rPr>
                <w:rFonts w:ascii="宋体" w:hAnsi="宋体" w:eastAsia="宋体" w:cs="宋体"/>
                <w:bCs/>
                <w:color w:val="auto"/>
                <w:sz w:val="24"/>
                <w:szCs w:val="24"/>
                <w:highlight w:val="none"/>
              </w:rPr>
              <w:t>投标文件载明的招标项目交付时间超过招标文件规定或未载明招标项目交付时间的；</w:t>
            </w:r>
            <w:r>
              <w:rPr>
                <w:rFonts w:ascii="宋体" w:hAnsi="宋体" w:eastAsia="宋体" w:cs="宋体"/>
                <w:bCs/>
                <w:color w:val="auto"/>
                <w:sz w:val="24"/>
                <w:szCs w:val="24"/>
                <w:highlight w:val="none"/>
                <w:lang w:eastAsia="zh-CN"/>
              </w:rPr>
              <w:t>(3)</w:t>
            </w:r>
            <w:r>
              <w:rPr>
                <w:rFonts w:ascii="宋体" w:hAnsi="宋体" w:eastAsia="宋体" w:cs="宋体"/>
                <w:bCs/>
                <w:color w:val="auto"/>
                <w:sz w:val="24"/>
                <w:szCs w:val="24"/>
                <w:highlight w:val="none"/>
              </w:rPr>
              <w:t>属于招标文件规定的符合性审查不合格情形</w:t>
            </w:r>
            <w:r>
              <w:rPr>
                <w:rFonts w:ascii="宋体" w:hAnsi="宋体" w:eastAsia="宋体" w:cs="宋体"/>
                <w:bCs/>
                <w:color w:val="auto"/>
                <w:sz w:val="24"/>
                <w:szCs w:val="24"/>
                <w:highlight w:val="none"/>
                <w:lang w:eastAsia="zh-CN"/>
              </w:rPr>
              <w:t>；(4)</w:t>
            </w:r>
            <w:r>
              <w:rPr>
                <w:rFonts w:ascii="宋体" w:hAnsi="宋体" w:eastAsia="宋体" w:cs="宋体"/>
                <w:bCs/>
                <w:color w:val="auto"/>
                <w:sz w:val="24"/>
                <w:szCs w:val="24"/>
                <w:highlight w:val="none"/>
              </w:rPr>
              <w:t>属于招标文件规定评标委员会应否决其投标的情形；</w:t>
            </w:r>
            <w:r>
              <w:rPr>
                <w:rFonts w:ascii="宋体" w:hAnsi="宋体" w:eastAsia="宋体" w:cs="宋体"/>
                <w:bCs/>
                <w:color w:val="auto"/>
                <w:sz w:val="24"/>
                <w:szCs w:val="24"/>
                <w:highlight w:val="none"/>
                <w:lang w:eastAsia="zh-CN"/>
              </w:rPr>
              <w:t>(5)</w:t>
            </w:r>
            <w:r>
              <w:rPr>
                <w:rFonts w:ascii="宋体" w:hAnsi="宋体" w:eastAsia="宋体" w:cs="宋体"/>
                <w:bCs/>
                <w:color w:val="auto"/>
                <w:sz w:val="24"/>
                <w:szCs w:val="24"/>
                <w:highlight w:val="none"/>
              </w:rPr>
              <w:t>投标文件的商务部分中出现报价部分的全部或部分的投标报价信息(或组成资料)；</w:t>
            </w:r>
            <w:r>
              <w:rPr>
                <w:rFonts w:ascii="宋体" w:hAnsi="宋体" w:eastAsia="宋体" w:cs="宋体"/>
                <w:bCs/>
                <w:color w:val="auto"/>
                <w:sz w:val="24"/>
                <w:szCs w:val="24"/>
                <w:highlight w:val="none"/>
                <w:lang w:eastAsia="zh-CN"/>
              </w:rPr>
              <w:t>(6)</w:t>
            </w:r>
            <w:r>
              <w:rPr>
                <w:rFonts w:ascii="宋体" w:hAnsi="宋体" w:eastAsia="宋体" w:cs="宋体"/>
                <w:bCs/>
                <w:color w:val="auto"/>
                <w:sz w:val="24"/>
                <w:szCs w:val="24"/>
                <w:highlight w:val="none"/>
              </w:rPr>
              <w:t>投标文件不满足招标文件“第五章</w:t>
            </w:r>
            <w:r>
              <w:rPr>
                <w:rFonts w:ascii="宋体" w:hAnsi="宋体" w:eastAsia="宋体" w:cs="宋体"/>
                <w:bCs/>
                <w:color w:val="auto"/>
                <w:sz w:val="24"/>
                <w:szCs w:val="24"/>
                <w:highlight w:val="none"/>
                <w:lang w:eastAsia="zh-CN"/>
              </w:rPr>
              <w:t xml:space="preserve"> </w:t>
            </w:r>
            <w:r>
              <w:rPr>
                <w:rFonts w:ascii="宋体" w:hAnsi="宋体" w:eastAsia="宋体" w:cs="宋体"/>
                <w:bCs/>
                <w:color w:val="auto"/>
                <w:sz w:val="24"/>
                <w:szCs w:val="24"/>
                <w:highlight w:val="none"/>
              </w:rPr>
              <w:t>三、商务条件”中任何一项要求的，视为未实质性响应招标文件要求，按无效投标处理。</w:t>
            </w:r>
          </w:p>
        </w:tc>
      </w:tr>
    </w:tbl>
    <w:p w14:paraId="278DC653">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价格符合性</w:t>
      </w:r>
    </w:p>
    <w:tbl>
      <w:tblPr>
        <w:tblStyle w:val="11"/>
        <w:tblW w:w="890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241"/>
        <w:gridCol w:w="6660"/>
      </w:tblGrid>
      <w:tr w14:paraId="6B247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5" w:hRule="atLeast"/>
        </w:trPr>
        <w:tc>
          <w:tcPr>
            <w:tcW w:w="2241" w:type="dxa"/>
            <w:vAlign w:val="center"/>
          </w:tcPr>
          <w:p w14:paraId="0324B0B9">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情形</w:t>
            </w:r>
          </w:p>
        </w:tc>
        <w:tc>
          <w:tcPr>
            <w:tcW w:w="6660" w:type="dxa"/>
            <w:vAlign w:val="center"/>
          </w:tcPr>
          <w:p w14:paraId="799E2761">
            <w:pPr>
              <w:pStyle w:val="16"/>
              <w:keepNext w:val="0"/>
              <w:keepLines w:val="0"/>
              <w:pageBreakBefore w:val="0"/>
              <w:widowControl/>
              <w:kinsoku/>
              <w:wordWrap/>
              <w:overflowPunct/>
              <w:topLinePunct w:val="0"/>
              <w:autoSpaceDE/>
              <w:autoSpaceDN/>
              <w:bidi w:val="0"/>
              <w:adjustRightInd/>
              <w:snapToGrid/>
              <w:spacing w:line="340" w:lineRule="atLeast"/>
              <w:jc w:val="center"/>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明细</w:t>
            </w:r>
          </w:p>
        </w:tc>
      </w:tr>
      <w:tr w14:paraId="29E32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2241" w:type="dxa"/>
            <w:vAlign w:val="center"/>
          </w:tcPr>
          <w:p w14:paraId="4CD28D01">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其他情形</w:t>
            </w:r>
          </w:p>
        </w:tc>
        <w:tc>
          <w:tcPr>
            <w:tcW w:w="6660" w:type="dxa"/>
            <w:vAlign w:val="center"/>
          </w:tcPr>
          <w:p w14:paraId="272F507E">
            <w:pPr>
              <w:pStyle w:val="16"/>
              <w:keepNext w:val="0"/>
              <w:keepLines w:val="0"/>
              <w:pageBreakBefore w:val="0"/>
              <w:widowControl/>
              <w:kinsoku/>
              <w:wordWrap/>
              <w:overflowPunct/>
              <w:topLinePunct w:val="0"/>
              <w:autoSpaceDE/>
              <w:autoSpaceDN/>
              <w:bidi w:val="0"/>
              <w:adjustRightInd/>
              <w:snapToGrid/>
              <w:spacing w:line="340" w:lineRule="atLeast"/>
              <w:textAlignment w:val="auto"/>
              <w:rPr>
                <w:rFonts w:hint="default" w:ascii="宋体" w:hAnsi="宋体" w:eastAsia="宋体" w:cs="宋体"/>
                <w:bCs/>
                <w:color w:val="auto"/>
                <w:sz w:val="24"/>
                <w:szCs w:val="24"/>
                <w:highlight w:val="none"/>
                <w:lang w:eastAsia="zh-CN"/>
              </w:rPr>
            </w:pPr>
            <w:r>
              <w:rPr>
                <w:rFonts w:ascii="宋体" w:hAnsi="宋体" w:eastAsia="宋体" w:cs="宋体"/>
                <w:bCs/>
                <w:color w:val="auto"/>
                <w:sz w:val="24"/>
                <w:szCs w:val="24"/>
                <w:highlight w:val="none"/>
                <w:lang w:eastAsia="zh-CN"/>
              </w:rPr>
              <w:t>(1)</w:t>
            </w:r>
            <w:r>
              <w:rPr>
                <w:rFonts w:ascii="宋体" w:hAnsi="宋体" w:eastAsia="宋体" w:cs="宋体"/>
                <w:bCs/>
                <w:color w:val="auto"/>
                <w:sz w:val="24"/>
                <w:szCs w:val="24"/>
                <w:highlight w:val="none"/>
              </w:rPr>
              <w:t>不符合招标文件中规定的实质性要求和条件、无效投标条款的；</w:t>
            </w:r>
            <w:r>
              <w:rPr>
                <w:rFonts w:ascii="宋体" w:hAnsi="宋体" w:eastAsia="宋体" w:cs="宋体"/>
                <w:bCs/>
                <w:color w:val="auto"/>
                <w:sz w:val="24"/>
                <w:szCs w:val="24"/>
                <w:highlight w:val="none"/>
                <w:lang w:eastAsia="zh-CN"/>
              </w:rPr>
              <w:t>(2)</w:t>
            </w:r>
            <w:r>
              <w:rPr>
                <w:rFonts w:ascii="宋体" w:hAnsi="宋体" w:eastAsia="宋体" w:cs="宋体"/>
                <w:bCs/>
                <w:color w:val="auto"/>
                <w:sz w:val="24"/>
                <w:szCs w:val="24"/>
                <w:highlight w:val="none"/>
              </w:rPr>
              <w:t>属于招标文件规定的符合性审查不合格情形；</w:t>
            </w:r>
            <w:r>
              <w:rPr>
                <w:rFonts w:ascii="宋体" w:hAnsi="宋体" w:eastAsia="宋体" w:cs="宋体"/>
                <w:bCs/>
                <w:color w:val="auto"/>
                <w:sz w:val="24"/>
                <w:szCs w:val="24"/>
                <w:highlight w:val="none"/>
                <w:lang w:eastAsia="zh-CN"/>
              </w:rPr>
              <w:t>(3)</w:t>
            </w:r>
            <w:r>
              <w:rPr>
                <w:rFonts w:ascii="宋体" w:hAnsi="宋体" w:eastAsia="宋体" w:cs="宋体"/>
                <w:bCs/>
                <w:color w:val="auto"/>
                <w:sz w:val="24"/>
                <w:szCs w:val="24"/>
                <w:highlight w:val="none"/>
              </w:rPr>
              <w:t>属于招标文件规定评标委员会应否决其投标的情形</w:t>
            </w:r>
            <w:r>
              <w:rPr>
                <w:rFonts w:ascii="宋体" w:hAnsi="宋体" w:eastAsia="宋体" w:cs="宋体"/>
                <w:bCs/>
                <w:color w:val="auto"/>
                <w:sz w:val="24"/>
                <w:szCs w:val="24"/>
                <w:highlight w:val="none"/>
                <w:lang w:eastAsia="zh-CN"/>
              </w:rPr>
              <w:t>。</w:t>
            </w:r>
          </w:p>
        </w:tc>
      </w:tr>
    </w:tbl>
    <w:p w14:paraId="293A9771">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6.3澄清有关问题</w:t>
      </w:r>
    </w:p>
    <w:p w14:paraId="0D498334">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（1）对通过符合性审查的电子投标文件中含义不明确、同类问题表述不一致或有明显文字和计算错误的内容，评标委员会将以书面形式要求投标人作出必要的澄清、说明或补正。</w:t>
      </w:r>
    </w:p>
    <w:p w14:paraId="42E85F8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F7AEAEC">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（3）电子投标文件报价出现前后不一致的，除招标文件另有规定外，按照下列规定修正：</w:t>
      </w:r>
    </w:p>
    <w:p w14:paraId="534DC3D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①开标（报价）一览表内容与电子投标文件中相应内容不一致的，以开标（报价）一览表为准；</w:t>
      </w:r>
    </w:p>
    <w:p w14:paraId="451C3FB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②大写金额和小写金额不一致的，以大写金额为准；</w:t>
      </w:r>
    </w:p>
    <w:p w14:paraId="3278BA41">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③单价金额小数点或百分比有明显错位的，以开标（报价）一览表的总价为准，并修改单价；</w:t>
      </w:r>
    </w:p>
    <w:p w14:paraId="748665E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④总价金额与按照单价汇总金额不一致的，以单价金额计算结果为准。</w:t>
      </w:r>
    </w:p>
    <w:p w14:paraId="6031027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※同时出现两种以上不一致的，按照前款规定的顺序修正。修正后的报价应按照本章第6.3条第（1）、（2）款规定经投标人确认后产生约束力，投标人不确认的，其投标无效。</w:t>
      </w:r>
    </w:p>
    <w:p w14:paraId="433C9B1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（4）关于细微偏差</w:t>
      </w:r>
    </w:p>
    <w:p w14:paraId="2652ABD4">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5C76E72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②评标委员会将以书面形式要求存在细微偏差的投标人在评标委员会规定的时间内予以补正。若无法补正，则评标委员会将按照不利于投标人的内容进行认定。</w:t>
      </w:r>
    </w:p>
    <w:p w14:paraId="424CC3D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（5）关于投标描述（即电子投标文件中描述的内容）</w:t>
      </w:r>
    </w:p>
    <w:p w14:paraId="7970CC2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①投标描述前后不一致且不涉及证明材料的：按照本章第6.3条第（1）、（2）款规定执行。</w:t>
      </w:r>
    </w:p>
    <w:p w14:paraId="3D6A173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②投标描述与证明材料不一致或多份证明材料之间不一致的：</w:t>
      </w:r>
    </w:p>
    <w:p w14:paraId="27205D4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a.评标委员会将要求投标人进行书面澄清，并按照不利于投标人的内容进行评标。</w:t>
      </w:r>
    </w:p>
    <w:p w14:paraId="3062E4C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594AECD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51559416">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6.4比较与评价</w:t>
      </w:r>
    </w:p>
    <w:p w14:paraId="64B515D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（1）按照本章第7条载明的评标方法和标准，对符合性审查合格的电子投标文件进行比较与评价。</w:t>
      </w:r>
    </w:p>
    <w:p w14:paraId="39CA59B7">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（2）关于相同品牌产品（政府采购服务类项目不适用本条款规定）</w:t>
      </w:r>
    </w:p>
    <w:p w14:paraId="22535A2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3B1BB4C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a.招标文件规定的方式：</w:t>
      </w:r>
    </w:p>
    <w:p w14:paraId="2754055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无</w:t>
      </w:r>
      <w:r>
        <w:rPr>
          <w:rFonts w:hint="eastAsia" w:ascii="宋体" w:hAnsi="宋体" w:eastAsia="宋体" w:cs="宋体"/>
          <w:color w:val="auto"/>
          <w:sz w:val="24"/>
          <w:szCs w:val="24"/>
          <w:highlight w:val="none"/>
          <w:lang w:eastAsia="zh-CN"/>
        </w:rPr>
        <w:t>。</w:t>
      </w:r>
    </w:p>
    <w:p w14:paraId="255827F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b.招标文件未规定的，采取随机抽取方式确定，其他投标无效。</w:t>
      </w:r>
    </w:p>
    <w:p w14:paraId="7869E09C">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5A8969D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招标文件规定的方式：评审得分相同的，则按“技术部分”的得分高低排序；若投标人的评审得分相同且技术部分得分也相同的，则按“商务部分”的得分高低排序；若评审得分相同且技术部分与商务部分得分也相同的，则按“价格部分”的得分高低排序；若评审得分相同、技术部分得分相同且商务部分得分与价格部分得分也相同的，则采取随机抽取方式确定,其他同品牌投标人不作为中标候选人。</w:t>
      </w:r>
    </w:p>
    <w:p w14:paraId="1D93C416">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b.招标文件未规定的，采取随机抽取方式确定，其他同品牌投标人不作为中标候选人。</w:t>
      </w:r>
    </w:p>
    <w:p w14:paraId="59904DB9">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③非单一产品采购项目，多家投标人提供的核心产品品牌相同的，按照本章第6.4条第（2）款第①、②规定处理。</w:t>
      </w:r>
    </w:p>
    <w:p w14:paraId="035E2560">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（3）漏（缺）项</w:t>
      </w:r>
    </w:p>
    <w:p w14:paraId="436D8F5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①招标文件中要求列入报价的费用（含配置、功能），漏（缺）项的报价视为已经包括在投标总价中。</w:t>
      </w:r>
    </w:p>
    <w:p w14:paraId="1B8494D3">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②对多报项及赠送项的价格评标时不予核减，全部进入评标价评议。</w:t>
      </w:r>
    </w:p>
    <w:p w14:paraId="331E2EC4">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6.5推荐中标候选人：详见本章第7.2条规定。</w:t>
      </w:r>
    </w:p>
    <w:p w14:paraId="7802455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6.6编写评标报告</w:t>
      </w:r>
    </w:p>
    <w:p w14:paraId="106EEFFD">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（1）评标报告由评标委员会负责编写。</w:t>
      </w:r>
    </w:p>
    <w:p w14:paraId="6E457F5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（2）评标报告应包括下列内容：</w:t>
      </w:r>
    </w:p>
    <w:p w14:paraId="2AF65E15">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①招标公告刊登的媒体名称、开标日期和地点；</w:t>
      </w:r>
    </w:p>
    <w:p w14:paraId="7495F8F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②投标人名单和评标委员会成员名单；</w:t>
      </w:r>
    </w:p>
    <w:p w14:paraId="29A421F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③评标方法和标准；</w:t>
      </w:r>
    </w:p>
    <w:p w14:paraId="23477F9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④开标记录和评标情况及说明，包括无效投标人名单及原因；</w:t>
      </w:r>
    </w:p>
    <w:p w14:paraId="728651F6">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⑤评标结果，包括中标候选人名单或确定的中标人；</w:t>
      </w:r>
    </w:p>
    <w:p w14:paraId="534925F6">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⑥其他需要说明的情况，包括但不限于：评标过程中投标人的澄清、说明或补正，评委更换等。</w:t>
      </w:r>
    </w:p>
    <w:p w14:paraId="5847D94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1203C2B8">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6.8评委对需要共同认定的事项存在争议的，应按照少数服从多数的原则进行认定。持不同意见的评委应在评标报告上签署不同意见及理由，否则视为同意评标报告。</w:t>
      </w:r>
    </w:p>
    <w:p w14:paraId="616087F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6.9在评标过程中发现投标人有下列情形之一的，评标委员会应认定其投标无效，并书面报告本项目监督管理部门：</w:t>
      </w:r>
    </w:p>
    <w:p w14:paraId="4FB5CD7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（1）恶意串通（包括但不限于招标文件第三章第9.7条规定情形）；</w:t>
      </w:r>
    </w:p>
    <w:p w14:paraId="6556837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（2）妨碍其他投标人的竞争行为；</w:t>
      </w:r>
    </w:p>
    <w:p w14:paraId="3DB3949D">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（3）损害采购人或其他投标人的合法权益。</w:t>
      </w:r>
    </w:p>
    <w:p w14:paraId="48A56E3E">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6.10评标过程中，有下列情形之一的，应予废标：</w:t>
      </w:r>
    </w:p>
    <w:p w14:paraId="33A6104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（1）符合性审查合格的投标人不足三家的；</w:t>
      </w:r>
    </w:p>
    <w:p w14:paraId="1A20E80F">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（2）有关法律、法规和规章规定废标的情形。</w:t>
      </w:r>
    </w:p>
    <w:p w14:paraId="28F6E972">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※若废标，则本次采购活动结束，</w:t>
      </w:r>
      <w:r>
        <w:rPr>
          <w:rFonts w:ascii="宋体" w:hAnsi="宋体" w:eastAsia="宋体" w:cs="宋体"/>
          <w:color w:val="auto"/>
          <w:sz w:val="24"/>
          <w:szCs w:val="24"/>
          <w:highlight w:val="none"/>
          <w:lang w:eastAsia="zh-CN"/>
        </w:rPr>
        <w:t>福建正燊招标代理有限公司</w:t>
      </w:r>
      <w:r>
        <w:rPr>
          <w:rFonts w:ascii="宋体" w:hAnsi="宋体" w:eastAsia="宋体" w:cs="宋体"/>
          <w:color w:val="auto"/>
          <w:sz w:val="24"/>
          <w:szCs w:val="24"/>
          <w:highlight w:val="none"/>
        </w:rPr>
        <w:t>将依法组织后续采购活动（包括但不限于：重新招标、采用其他方式采购等）。</w:t>
      </w:r>
    </w:p>
    <w:p w14:paraId="1DDC5DFD">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7、评标方法和标准</w:t>
      </w:r>
    </w:p>
    <w:p w14:paraId="0AF0A009">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7.1评标方法：</w:t>
      </w:r>
    </w:p>
    <w:p w14:paraId="3CB96D0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采购包1：综合评分法</w:t>
      </w:r>
    </w:p>
    <w:p w14:paraId="0639033A">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7.2评标标准</w:t>
      </w:r>
    </w:p>
    <w:p w14:paraId="63B39C6B">
      <w:pPr>
        <w:pStyle w:val="16"/>
        <w:keepNext w:val="0"/>
        <w:keepLines w:val="0"/>
        <w:pageBreakBefore w:val="0"/>
        <w:widowControl/>
        <w:kinsoku/>
        <w:wordWrap/>
        <w:overflowPunct/>
        <w:topLinePunct w:val="0"/>
        <w:autoSpaceDE/>
        <w:autoSpaceDN/>
        <w:bidi w:val="0"/>
        <w:adjustRightInd/>
        <w:snapToGrid/>
        <w:spacing w:line="340" w:lineRule="atLeas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采购包1：综合评分法</w:t>
      </w:r>
    </w:p>
    <w:p w14:paraId="22A5FD51">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14:paraId="423C55B3">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A1B1428">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各项评审因素的设置如下：</w:t>
      </w:r>
    </w:p>
    <w:p w14:paraId="56F045D2">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hint="default" w:ascii="宋体" w:hAnsi="宋体" w:eastAsia="宋体" w:cs="宋体"/>
          <w:color w:val="auto"/>
          <w:sz w:val="24"/>
          <w:szCs w:val="24"/>
          <w:highlight w:val="none"/>
        </w:rPr>
      </w:pPr>
      <w:bookmarkStart w:id="0" w:name="OLE_LINK1"/>
      <w:bookmarkStart w:id="1" w:name="OLE_LINK2"/>
      <w:r>
        <w:rPr>
          <w:rFonts w:ascii="宋体" w:hAnsi="宋体" w:eastAsia="宋体" w:cs="宋体"/>
          <w:color w:val="auto"/>
          <w:sz w:val="24"/>
          <w:szCs w:val="24"/>
          <w:highlight w:val="none"/>
        </w:rPr>
        <w:t>价格项（F1×A1）满分为</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0.0000分</w:t>
      </w:r>
    </w:p>
    <w:p w14:paraId="133D41E6">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27C54B2B">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价格扣除的规则如下：</w:t>
      </w:r>
    </w:p>
    <w:tbl>
      <w:tblPr>
        <w:tblStyle w:val="11"/>
        <w:tblW w:w="8862"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03"/>
        <w:gridCol w:w="1050"/>
        <w:gridCol w:w="1076"/>
        <w:gridCol w:w="5533"/>
      </w:tblGrid>
      <w:tr w14:paraId="47950C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2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2459B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项目</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275A6C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kern w:val="0"/>
                <w:sz w:val="24"/>
                <w:szCs w:val="24"/>
                <w:highlight w:val="none"/>
                <w:lang w:val="en-US" w:eastAsia="zh-CN" w:bidi="ar"/>
              </w:rPr>
            </w:pPr>
            <w:r>
              <w:rPr>
                <w:rFonts w:hint="eastAsia" w:ascii="宋体" w:hAnsi="宋体" w:eastAsia="宋体" w:cs="宋体"/>
                <w:b w:val="0"/>
                <w:bCs w:val="0"/>
                <w:i w:val="0"/>
                <w:iCs w:val="0"/>
                <w:caps w:val="0"/>
                <w:color w:val="auto"/>
                <w:spacing w:val="0"/>
                <w:kern w:val="0"/>
                <w:sz w:val="24"/>
                <w:szCs w:val="24"/>
                <w:highlight w:val="none"/>
                <w:lang w:val="en-US" w:eastAsia="zh-CN" w:bidi="ar"/>
              </w:rPr>
              <w:t>适用</w:t>
            </w:r>
          </w:p>
          <w:p w14:paraId="39F0BA8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对象</w:t>
            </w:r>
          </w:p>
        </w:tc>
        <w:tc>
          <w:tcPr>
            <w:tcW w:w="10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942B09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比例</w:t>
            </w:r>
          </w:p>
        </w:tc>
        <w:tc>
          <w:tcPr>
            <w:tcW w:w="553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E9267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描述</w:t>
            </w:r>
          </w:p>
        </w:tc>
      </w:tr>
      <w:tr w14:paraId="37409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2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C9A51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小型、微型企业，监狱企业，残疾人福利性单位</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025C6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投标人或者联合体均为小型、微型企业</w:t>
            </w:r>
          </w:p>
        </w:tc>
        <w:tc>
          <w:tcPr>
            <w:tcW w:w="10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AD29B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15.00%</w:t>
            </w:r>
          </w:p>
        </w:tc>
        <w:tc>
          <w:tcPr>
            <w:tcW w:w="553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B9BE37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default" w:ascii="宋体" w:hAnsi="宋体" w:eastAsia="宋体" w:cs="宋体"/>
                <w:i w:val="0"/>
                <w:iCs w:val="0"/>
                <w:caps w:val="0"/>
                <w:color w:val="auto"/>
                <w:spacing w:val="0"/>
                <w:sz w:val="24"/>
                <w:szCs w:val="24"/>
                <w:highlight w:val="none"/>
                <w:lang w:val="en-US"/>
              </w:rPr>
            </w:pPr>
            <w:r>
              <w:rPr>
                <w:rFonts w:hint="eastAsia" w:ascii="宋体" w:hAnsi="宋体" w:eastAsia="宋体" w:cs="宋体"/>
                <w:b w:val="0"/>
                <w:bCs/>
                <w:color w:val="auto"/>
                <w:sz w:val="24"/>
                <w:szCs w:val="24"/>
                <w:highlight w:val="none"/>
              </w:rPr>
              <w:t>根据中华人民共和国财政部、中华人民共和国工业和信息化部《政府采购促进中小企业发展管理办法》的财库〔2020〕46号以及《福建省财政厅关于进一步加大政府采购支持中小企业力度的通知》闽财规〔2022〕13号文件的规定，对符合该规定的小微企业报价给予15%（工程项目为3%）的扣除，用扣除后的价格参与价格分的评审。符合财政部、司法部文件（财库[2014]68号）规定的监狱企业亦可享受扶持政策。所有扣除价格的货币单位与</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报价的货币单位一致。（符合中小企业划分标准的个体工商户，在政府采购活动中视同中小企业。）（1）中小企业（含中型、小型、微型企业，下同）应当同时符合以下条件：①符合中小企业划分标准（按《关于印发中小企业划型标准规定的通知》（工信部联企业〔2011〕300号）执行）。②提供本企业制造的货物、承担的工程或者服务，或者提供其他中小企业制造的货物。本项所称货物不包括使用大型企业注册商标的货物。③小型、微型企业提供中型企业制造的货物的，视同为中型企业。④小型和微型企业适用优惠内容及幅度时须提供相关资料，否则不给予价格扣除：① 《中小企业生产或销售的产品或服务优惠明细表》。② 《中小企业声明函》。 注：中小微企业划分标准表（工信部联企业〔2011〕300号）若所投标产品为进口产品的，不适用《政府采购促进中小企业发展暂行办法》。（2）根据财政部、司法部印发的《关于政府采购支持监狱企业发展有关问题的通知》(财库〔2014〕68号)文件规定，凡监狱企业参加政府采购活动视同小型、微型企业，享受评审价格扣除的政府采购优惠政策，但必须提供由省级以上监狱管理局、戒毒管理局(含新疆生产建设兵团)出具的属于监狱企业的证明文件，否则评审时不予价格扣除优惠。（3）根据财政部、民政部、中国残疾人联合会印发的《三部门联合发布关于促进残疾人就业政府采购政策的通知》财库〔2017〕141号的文件规定，在政府采购活动中，残疾人福利性单位视同小型、微型企业，享受评审价格扣除的政府采购优惠政策。此次若有残疾人福利性单位参加投标的其报价享受15%的价格扣除，应当提供《关于促进残疾人就业政府采购政策的通知》（财库〔2017〕141号）规定的《残疾人福利性单位声明函》，并对声明的真实性负责。注：残疾人福利性单位标明具体哪些货物是其本单位制造的货物，或者是由其他残疾人福利性单位制造的货物（不包括使用非残疾人福利性单位注册商标的货物），仅有标明部分的货物才能启动价格扣除。（4）在政府采购活动中，残疾人福利性单位或监狱企业视同小型、微型企业，不重复享受政策。（5）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5%（工程项目为1%）的扣除，用扣除后的价格参加评审。组成联合体或者接受分包的小微企业与联合体内其他企业、分包企业之间存在直接控股、管理关系的，不享受价格扣除优惠政策。（6）本项目为非专门面向中小企业采购，本项目属于“</w:t>
            </w:r>
            <w:r>
              <w:rPr>
                <w:rFonts w:hint="eastAsia" w:ascii="宋体" w:hAnsi="宋体" w:eastAsia="宋体" w:cs="宋体"/>
                <w:b w:val="0"/>
                <w:bCs/>
                <w:color w:val="auto"/>
                <w:sz w:val="24"/>
                <w:szCs w:val="24"/>
                <w:highlight w:val="none"/>
                <w:lang w:val="en-US" w:eastAsia="zh-CN"/>
              </w:rPr>
              <w:t>货物</w:t>
            </w:r>
            <w:r>
              <w:rPr>
                <w:rFonts w:hint="eastAsia" w:ascii="宋体" w:hAnsi="宋体" w:eastAsia="宋体" w:cs="宋体"/>
                <w:b w:val="0"/>
                <w:bCs/>
                <w:color w:val="auto"/>
                <w:sz w:val="24"/>
                <w:szCs w:val="24"/>
                <w:highlight w:val="none"/>
              </w:rPr>
              <w:t>类”采购项目，采购标的对应的中小企业划分标准所属行业为</w:t>
            </w:r>
            <w:r>
              <w:rPr>
                <w:rFonts w:hint="eastAsia" w:ascii="宋体" w:hAnsi="宋体" w:eastAsia="宋体" w:cs="宋体"/>
                <w:color w:val="auto"/>
                <w:sz w:val="24"/>
                <w:highlight w:val="none"/>
                <w:lang w:val="en-US" w:eastAsia="zh-CN"/>
              </w:rPr>
              <w:t>工业</w:t>
            </w:r>
            <w:r>
              <w:rPr>
                <w:rFonts w:hint="eastAsia" w:ascii="宋体" w:hAnsi="宋体" w:eastAsia="宋体" w:cs="宋体"/>
                <w:b w:val="0"/>
                <w:bCs/>
                <w:color w:val="auto"/>
                <w:sz w:val="24"/>
                <w:szCs w:val="24"/>
                <w:highlight w:val="none"/>
              </w:rPr>
              <w:t>。（7）以上所有证明文件复印件须加盖</w:t>
            </w:r>
            <w:r>
              <w:rPr>
                <w:rFonts w:hint="eastAsia" w:ascii="宋体" w:hAnsi="宋体" w:eastAsia="宋体" w:cs="宋体"/>
                <w:b w:val="0"/>
                <w:bCs/>
                <w:color w:val="auto"/>
                <w:sz w:val="24"/>
                <w:szCs w:val="24"/>
                <w:highlight w:val="none"/>
                <w:lang w:val="en-US" w:eastAsia="zh-CN"/>
              </w:rPr>
              <w:t>投标人</w:t>
            </w:r>
            <w:r>
              <w:rPr>
                <w:rFonts w:hint="eastAsia" w:ascii="宋体" w:hAnsi="宋体" w:eastAsia="宋体" w:cs="宋体"/>
                <w:b w:val="0"/>
                <w:bCs/>
                <w:color w:val="auto"/>
                <w:sz w:val="24"/>
                <w:szCs w:val="24"/>
                <w:highlight w:val="none"/>
              </w:rPr>
              <w:t>公章，否则不予价格扣除。</w:t>
            </w:r>
            <w:r>
              <w:rPr>
                <w:rFonts w:hint="eastAsia" w:ascii="宋体" w:hAnsi="宋体" w:eastAsia="宋体" w:cs="宋体"/>
                <w:b w:val="0"/>
                <w:bCs/>
                <w:color w:val="auto"/>
                <w:sz w:val="24"/>
                <w:szCs w:val="24"/>
                <w:highlight w:val="none"/>
                <w:lang w:val="en-US" w:eastAsia="zh-CN"/>
              </w:rPr>
              <w:t>评标委员会</w:t>
            </w:r>
            <w:r>
              <w:rPr>
                <w:rFonts w:hint="eastAsia" w:ascii="宋体" w:hAnsi="宋体" w:eastAsia="宋体" w:cs="宋体"/>
                <w:b w:val="0"/>
                <w:bCs/>
                <w:color w:val="auto"/>
                <w:sz w:val="24"/>
                <w:szCs w:val="24"/>
                <w:highlight w:val="none"/>
              </w:rPr>
              <w:t>审查此项响应性只根据投标文件本身的内容，而不寻求其他的外部证据。</w:t>
            </w:r>
          </w:p>
        </w:tc>
      </w:tr>
    </w:tbl>
    <w:p w14:paraId="3E8AB76B">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lang w:val="en-US" w:eastAsia="zh-CN"/>
        </w:rPr>
        <w:t xml:space="preserve">实施本国产品标准的价格扣除规则如下 </w:t>
      </w:r>
    </w:p>
    <w:tbl>
      <w:tblPr>
        <w:tblStyle w:val="11"/>
        <w:tblW w:w="8862"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03"/>
        <w:gridCol w:w="1050"/>
        <w:gridCol w:w="1076"/>
        <w:gridCol w:w="5533"/>
      </w:tblGrid>
      <w:tr w14:paraId="0AA5DD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2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62AE8A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项目</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0154AD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kern w:val="0"/>
                <w:sz w:val="24"/>
                <w:szCs w:val="24"/>
                <w:highlight w:val="none"/>
                <w:lang w:val="en-US" w:eastAsia="zh-CN" w:bidi="ar"/>
              </w:rPr>
            </w:pPr>
            <w:r>
              <w:rPr>
                <w:rFonts w:hint="eastAsia" w:ascii="宋体" w:hAnsi="宋体" w:eastAsia="宋体" w:cs="宋体"/>
                <w:b w:val="0"/>
                <w:bCs w:val="0"/>
                <w:i w:val="0"/>
                <w:iCs w:val="0"/>
                <w:caps w:val="0"/>
                <w:color w:val="auto"/>
                <w:spacing w:val="0"/>
                <w:kern w:val="0"/>
                <w:sz w:val="24"/>
                <w:szCs w:val="24"/>
                <w:highlight w:val="none"/>
                <w:lang w:val="en-US" w:eastAsia="zh-CN" w:bidi="ar"/>
              </w:rPr>
              <w:t>适用</w:t>
            </w:r>
          </w:p>
          <w:p w14:paraId="3803877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对象</w:t>
            </w:r>
          </w:p>
        </w:tc>
        <w:tc>
          <w:tcPr>
            <w:tcW w:w="10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75995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比例</w:t>
            </w:r>
          </w:p>
        </w:tc>
        <w:tc>
          <w:tcPr>
            <w:tcW w:w="553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131F8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kern w:val="0"/>
                <w:sz w:val="24"/>
                <w:szCs w:val="24"/>
                <w:highlight w:val="none"/>
                <w:lang w:val="en-US" w:eastAsia="zh-CN" w:bidi="ar"/>
              </w:rPr>
              <w:t>描述</w:t>
            </w:r>
          </w:p>
        </w:tc>
      </w:tr>
      <w:tr w14:paraId="5A25A8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12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07C833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lang w:val="en-US" w:eastAsia="zh-CN"/>
              </w:rPr>
              <w:t xml:space="preserve">对本国产品的支持政策 </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67044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lang w:val="en-US" w:eastAsia="zh-CN"/>
              </w:rPr>
              <w:t xml:space="preserve">本国产品 </w:t>
            </w:r>
          </w:p>
          <w:p w14:paraId="1073029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eastAsia" w:ascii="宋体" w:hAnsi="宋体" w:eastAsia="宋体" w:cs="宋体"/>
                <w:i w:val="0"/>
                <w:iCs w:val="0"/>
                <w:caps w:val="0"/>
                <w:color w:val="auto"/>
                <w:spacing w:val="0"/>
                <w:sz w:val="24"/>
                <w:szCs w:val="24"/>
                <w:highlight w:val="none"/>
              </w:rPr>
            </w:pPr>
          </w:p>
        </w:tc>
        <w:tc>
          <w:tcPr>
            <w:tcW w:w="10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46893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center"/>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20.00%</w:t>
            </w:r>
          </w:p>
        </w:tc>
        <w:tc>
          <w:tcPr>
            <w:tcW w:w="553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51A5F5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tLeast"/>
              <w:ind w:left="0" w:right="0" w:firstLine="0"/>
              <w:jc w:val="left"/>
              <w:textAlignment w:val="auto"/>
              <w:rPr>
                <w:rFonts w:hint="default" w:ascii="宋体" w:hAnsi="宋体" w:eastAsia="宋体" w:cs="宋体"/>
                <w:i w:val="0"/>
                <w:iCs w:val="0"/>
                <w:caps w:val="0"/>
                <w:color w:val="auto"/>
                <w:spacing w:val="0"/>
                <w:sz w:val="24"/>
                <w:szCs w:val="24"/>
                <w:highlight w:val="none"/>
                <w:lang w:val="en-US"/>
              </w:rPr>
            </w:pPr>
            <w:r>
              <w:rPr>
                <w:rFonts w:hint="eastAsia" w:ascii="宋体" w:hAnsi="宋体" w:eastAsia="宋体" w:cs="宋体"/>
                <w:b w:val="0"/>
                <w:bCs/>
                <w:color w:val="auto"/>
                <w:sz w:val="24"/>
                <w:szCs w:val="24"/>
                <w:highlight w:val="none"/>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1DD67E23">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优先类节能产品、环境标志产品的价格扣除规则如下</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56"/>
        <w:gridCol w:w="1305"/>
        <w:gridCol w:w="5880"/>
      </w:tblGrid>
      <w:tr w14:paraId="6D32D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50" w:hRule="atLeast"/>
        </w:trPr>
        <w:tc>
          <w:tcPr>
            <w:tcW w:w="1656" w:type="dxa"/>
            <w:vAlign w:val="center"/>
          </w:tcPr>
          <w:p w14:paraId="349B7B34">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项目</w:t>
            </w:r>
          </w:p>
        </w:tc>
        <w:tc>
          <w:tcPr>
            <w:tcW w:w="1305" w:type="dxa"/>
            <w:vAlign w:val="center"/>
          </w:tcPr>
          <w:p w14:paraId="1F4E5E7C">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比例</w:t>
            </w:r>
          </w:p>
        </w:tc>
        <w:tc>
          <w:tcPr>
            <w:tcW w:w="5880" w:type="dxa"/>
            <w:vAlign w:val="center"/>
          </w:tcPr>
          <w:p w14:paraId="1EFEE43D">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方法</w:t>
            </w:r>
          </w:p>
        </w:tc>
      </w:tr>
      <w:tr w14:paraId="64CE9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6" w:type="dxa"/>
            <w:vAlign w:val="center"/>
          </w:tcPr>
          <w:p w14:paraId="688901FC">
            <w:pPr>
              <w:pStyle w:val="16"/>
              <w:keepNext w:val="0"/>
              <w:keepLines w:val="0"/>
              <w:pageBreakBefore w:val="0"/>
              <w:widowControl/>
              <w:kinsoku/>
              <w:wordWrap/>
              <w:overflowPunct/>
              <w:topLinePunct w:val="0"/>
              <w:autoSpaceDE/>
              <w:autoSpaceDN/>
              <w:bidi w:val="0"/>
              <w:adjustRightInd/>
              <w:snapToGrid/>
              <w:spacing w:line="360" w:lineRule="atLeast"/>
              <w:jc w:val="lef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节能、环境标志产品</w:t>
            </w:r>
          </w:p>
        </w:tc>
        <w:tc>
          <w:tcPr>
            <w:tcW w:w="1305" w:type="dxa"/>
            <w:vAlign w:val="center"/>
          </w:tcPr>
          <w:p w14:paraId="7219BD09">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10.00%</w:t>
            </w:r>
          </w:p>
        </w:tc>
        <w:tc>
          <w:tcPr>
            <w:tcW w:w="5880" w:type="dxa"/>
          </w:tcPr>
          <w:p w14:paraId="7A844BD3">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根据《福建省财政厅关于加强政府绿色采购工作的通知》（闽财规〔2024〕3号）的规定，对节能产品、环境标志产品政府采购品目清单范围内，实施优先采购的产品，给予产品价格报价10%的扣除，用扣除后的价格参加评审。</w:t>
            </w:r>
            <w:r>
              <w:rPr>
                <w:rFonts w:hint="eastAsia" w:ascii="宋体" w:hAnsi="宋体" w:eastAsia="宋体" w:cs="宋体"/>
                <w:color w:val="auto"/>
                <w:sz w:val="24"/>
                <w:szCs w:val="24"/>
                <w:highlight w:val="none"/>
                <w:lang w:val="en-US" w:eastAsia="zh-CN"/>
              </w:rPr>
              <w:t>投标人</w:t>
            </w:r>
            <w:r>
              <w:rPr>
                <w:rFonts w:ascii="宋体" w:hAnsi="宋体" w:eastAsia="宋体" w:cs="宋体"/>
                <w:color w:val="auto"/>
                <w:sz w:val="24"/>
                <w:szCs w:val="24"/>
                <w:highlight w:val="none"/>
              </w:rPr>
              <w:t>应对优先采购产品和非优先采购产品进行分项报价，并提供有效的节能产品、环境标志产品认证证书，否则不享受价格扣除优惠。同一优先采购产品中各认证证书不重复计算价格扣除。</w:t>
            </w:r>
          </w:p>
        </w:tc>
      </w:tr>
    </w:tbl>
    <w:p w14:paraId="6BAAB44B">
      <w:pPr>
        <w:pStyle w:val="16"/>
        <w:keepNext w:val="0"/>
        <w:keepLines w:val="0"/>
        <w:pageBreakBefore w:val="0"/>
        <w:widowControl/>
        <w:kinsoku/>
        <w:wordWrap/>
        <w:overflowPunct/>
        <w:topLinePunct w:val="0"/>
        <w:autoSpaceDE/>
        <w:autoSpaceDN/>
        <w:bidi w:val="0"/>
        <w:adjustRightInd/>
        <w:snapToGrid/>
        <w:spacing w:line="34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其他：无</w:t>
      </w:r>
    </w:p>
    <w:p w14:paraId="55884066">
      <w:pPr>
        <w:pStyle w:val="16"/>
        <w:keepNext w:val="0"/>
        <w:keepLines w:val="0"/>
        <w:pageBreakBefore w:val="0"/>
        <w:widowControl/>
        <w:kinsoku/>
        <w:wordWrap/>
        <w:overflowPunct/>
        <w:topLinePunct w:val="0"/>
        <w:autoSpaceDE/>
        <w:autoSpaceDN/>
        <w:bidi w:val="0"/>
        <w:adjustRightInd/>
        <w:snapToGrid/>
        <w:spacing w:line="34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技术项（F2×A2）满分为</w:t>
      </w:r>
      <w:r>
        <w:rPr>
          <w:rFonts w:hint="eastAsia" w:ascii="宋体" w:hAnsi="宋体" w:eastAsia="宋体" w:cs="宋体"/>
          <w:color w:val="auto"/>
          <w:sz w:val="24"/>
          <w:szCs w:val="24"/>
          <w:highlight w:val="none"/>
          <w:lang w:val="en-US" w:eastAsia="zh-CN"/>
        </w:rPr>
        <w:t>64</w:t>
      </w:r>
      <w:r>
        <w:rPr>
          <w:rFonts w:ascii="宋体" w:hAnsi="宋体" w:eastAsia="宋体" w:cs="宋体"/>
          <w:color w:val="auto"/>
          <w:sz w:val="24"/>
          <w:szCs w:val="24"/>
          <w:highlight w:val="none"/>
        </w:rPr>
        <w:t>.0000分</w:t>
      </w:r>
    </w:p>
    <w:tbl>
      <w:tblPr>
        <w:tblStyle w:val="11"/>
        <w:tblW w:w="489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76"/>
        <w:gridCol w:w="971"/>
        <w:gridCol w:w="957"/>
        <w:gridCol w:w="5137"/>
      </w:tblGrid>
      <w:tr w14:paraId="284D1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004" w:type="pct"/>
            <w:vAlign w:val="center"/>
          </w:tcPr>
          <w:p w14:paraId="5A8D5216">
            <w:pPr>
              <w:pStyle w:val="16"/>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w:t>
            </w:r>
          </w:p>
        </w:tc>
        <w:tc>
          <w:tcPr>
            <w:tcW w:w="549" w:type="pct"/>
            <w:vAlign w:val="center"/>
          </w:tcPr>
          <w:p w14:paraId="355C8FF3">
            <w:pPr>
              <w:pStyle w:val="16"/>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分值</w:t>
            </w:r>
          </w:p>
        </w:tc>
        <w:tc>
          <w:tcPr>
            <w:tcW w:w="541" w:type="pct"/>
          </w:tcPr>
          <w:p w14:paraId="302FEFD7">
            <w:pPr>
              <w:pStyle w:val="16"/>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w:t>
            </w:r>
          </w:p>
          <w:p w14:paraId="17DC835E">
            <w:pPr>
              <w:pStyle w:val="16"/>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客观项</w:t>
            </w:r>
          </w:p>
        </w:tc>
        <w:tc>
          <w:tcPr>
            <w:tcW w:w="2904" w:type="pct"/>
          </w:tcPr>
          <w:p w14:paraId="4082DEFE">
            <w:pPr>
              <w:pStyle w:val="16"/>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描述</w:t>
            </w:r>
          </w:p>
        </w:tc>
      </w:tr>
      <w:tr w14:paraId="7749E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004" w:type="pct"/>
            <w:vAlign w:val="center"/>
          </w:tcPr>
          <w:p w14:paraId="0DEF9827">
            <w:pPr>
              <w:pStyle w:val="16"/>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bidi="ar-SA"/>
              </w:rPr>
              <w:t>1</w:t>
            </w:r>
            <w:r>
              <w:rPr>
                <w:rFonts w:hint="eastAsia" w:ascii="宋体" w:hAnsi="宋体" w:eastAsia="宋体" w:cs="宋体"/>
                <w:color w:val="auto"/>
                <w:sz w:val="24"/>
                <w:szCs w:val="24"/>
                <w:lang w:eastAsia="zh-CN" w:bidi="ar-SA"/>
              </w:rPr>
              <w:t>、</w:t>
            </w:r>
            <w:r>
              <w:rPr>
                <w:rFonts w:hint="eastAsia" w:ascii="宋体" w:hAnsi="宋体" w:eastAsia="宋体" w:cs="宋体"/>
                <w:color w:val="auto"/>
                <w:sz w:val="24"/>
                <w:szCs w:val="24"/>
                <w:lang w:bidi="ar-SA"/>
              </w:rPr>
              <w:t>技术和服务要求响应情况</w:t>
            </w:r>
          </w:p>
        </w:tc>
        <w:tc>
          <w:tcPr>
            <w:tcW w:w="549" w:type="pct"/>
            <w:vAlign w:val="center"/>
          </w:tcPr>
          <w:p w14:paraId="5A4E38D6">
            <w:pPr>
              <w:pStyle w:val="1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56</w:t>
            </w:r>
            <w:r>
              <w:rPr>
                <w:rFonts w:hint="eastAsia" w:ascii="宋体" w:hAnsi="宋体" w:eastAsia="宋体" w:cs="宋体"/>
                <w:color w:val="auto"/>
                <w:sz w:val="24"/>
                <w:szCs w:val="24"/>
              </w:rPr>
              <w:t>.00</w:t>
            </w:r>
          </w:p>
        </w:tc>
        <w:tc>
          <w:tcPr>
            <w:tcW w:w="541" w:type="pct"/>
            <w:vAlign w:val="center"/>
          </w:tcPr>
          <w:p w14:paraId="7D48B38C">
            <w:pPr>
              <w:pStyle w:val="1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是</w:t>
            </w:r>
          </w:p>
        </w:tc>
        <w:tc>
          <w:tcPr>
            <w:tcW w:w="2904" w:type="pct"/>
            <w:vAlign w:val="top"/>
          </w:tcPr>
          <w:p w14:paraId="4F795378">
            <w:pPr>
              <w:pStyle w:val="16"/>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bidi="ar-SA"/>
              </w:rPr>
              <w:t>根据投标人对招标文件“第五章招标内容及要求”的“二、技术和服务要求”的各项要求的响应、承诺情况进行评分：全部满足</w:t>
            </w:r>
            <w:r>
              <w:rPr>
                <w:rFonts w:hint="eastAsia" w:ascii="宋体" w:hAnsi="宋体" w:eastAsia="宋体" w:cs="宋体"/>
                <w:color w:val="auto"/>
                <w:sz w:val="24"/>
                <w:szCs w:val="24"/>
                <w:lang w:val="en-US" w:eastAsia="zh-CN" w:bidi="ar-SA"/>
              </w:rPr>
              <w:t>招标文件要求的得56分。</w:t>
            </w:r>
            <w:r>
              <w:rPr>
                <w:rFonts w:hint="eastAsia" w:ascii="宋体" w:hAnsi="宋体" w:eastAsia="宋体" w:cs="宋体"/>
                <w:color w:val="auto"/>
                <w:sz w:val="24"/>
                <w:szCs w:val="24"/>
                <w:lang w:bidi="ar-SA"/>
              </w:rPr>
              <w:t>其中以“★”标示的内容为不允许负偏离的实质性要求，</w:t>
            </w:r>
            <w:r>
              <w:rPr>
                <w:rFonts w:hint="eastAsia" w:ascii="宋体" w:hAnsi="宋体" w:eastAsia="宋体" w:cs="宋体"/>
                <w:color w:val="auto"/>
                <w:sz w:val="24"/>
                <w:szCs w:val="24"/>
                <w:highlight w:val="none"/>
                <w:lang w:bidi="ar-SA"/>
              </w:rPr>
              <w:t>若出现负偏离，按无效投标处理；未标注“★”的技术参数，每负偏离一项扣</w:t>
            </w:r>
            <w:r>
              <w:rPr>
                <w:rFonts w:hint="eastAsia" w:ascii="宋体" w:hAnsi="宋体" w:eastAsia="宋体" w:cs="宋体"/>
                <w:color w:val="auto"/>
                <w:sz w:val="24"/>
                <w:szCs w:val="24"/>
                <w:highlight w:val="none"/>
                <w:lang w:val="en-US" w:eastAsia="zh-CN" w:bidi="ar-SA"/>
              </w:rPr>
              <w:t>0.8</w:t>
            </w:r>
            <w:r>
              <w:rPr>
                <w:rFonts w:hint="eastAsia" w:ascii="宋体" w:hAnsi="宋体" w:eastAsia="宋体" w:cs="宋体"/>
                <w:color w:val="auto"/>
                <w:sz w:val="24"/>
                <w:szCs w:val="24"/>
                <w:highlight w:val="none"/>
                <w:lang w:bidi="ar-SA"/>
              </w:rPr>
              <w:t>分（共</w:t>
            </w:r>
            <w:r>
              <w:rPr>
                <w:rFonts w:hint="eastAsia" w:ascii="宋体" w:hAnsi="宋体" w:eastAsia="宋体" w:cs="宋体"/>
                <w:color w:val="auto"/>
                <w:sz w:val="24"/>
                <w:szCs w:val="24"/>
                <w:highlight w:val="none"/>
                <w:lang w:val="en-US" w:eastAsia="zh-CN" w:bidi="ar-SA"/>
              </w:rPr>
              <w:t>70</w:t>
            </w:r>
            <w:r>
              <w:rPr>
                <w:rFonts w:hint="eastAsia" w:ascii="宋体" w:hAnsi="宋体" w:eastAsia="宋体" w:cs="宋体"/>
                <w:color w:val="auto"/>
                <w:sz w:val="24"/>
                <w:szCs w:val="24"/>
                <w:highlight w:val="none"/>
                <w:lang w:bidi="ar-SA"/>
              </w:rPr>
              <w:t>项），</w:t>
            </w:r>
            <w:r>
              <w:rPr>
                <w:rFonts w:hint="eastAsia" w:ascii="宋体" w:hAnsi="宋体" w:eastAsia="宋体" w:cs="宋体"/>
                <w:color w:val="auto"/>
                <w:sz w:val="24"/>
                <w:szCs w:val="24"/>
                <w:lang w:bidi="ar-SA"/>
              </w:rPr>
              <w:t>扣完为止，正偏离不加分。注：投标人必须根据该评审内容，对照招标文件的要求逐项进行应答，如实说明正负情况，否则有可能做出不利于投标人的评判（负偏离）。</w:t>
            </w:r>
          </w:p>
        </w:tc>
      </w:tr>
      <w:tr w14:paraId="6123A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004" w:type="pct"/>
            <w:vAlign w:val="center"/>
          </w:tcPr>
          <w:p w14:paraId="1F12A74F">
            <w:pPr>
              <w:pStyle w:val="16"/>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2、现场技术服务方案</w:t>
            </w:r>
          </w:p>
        </w:tc>
        <w:tc>
          <w:tcPr>
            <w:tcW w:w="549" w:type="pct"/>
            <w:vAlign w:val="center"/>
          </w:tcPr>
          <w:p w14:paraId="4F62C9F3">
            <w:pPr>
              <w:pStyle w:val="1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.00</w:t>
            </w:r>
          </w:p>
        </w:tc>
        <w:tc>
          <w:tcPr>
            <w:tcW w:w="541" w:type="pct"/>
            <w:vAlign w:val="center"/>
          </w:tcPr>
          <w:p w14:paraId="49E19442">
            <w:pPr>
              <w:pStyle w:val="1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val="en-US" w:eastAsia="zh-CN"/>
              </w:rPr>
              <w:t>否</w:t>
            </w:r>
          </w:p>
        </w:tc>
        <w:tc>
          <w:tcPr>
            <w:tcW w:w="2904" w:type="pct"/>
            <w:vAlign w:val="top"/>
          </w:tcPr>
          <w:p w14:paraId="7ACADCDC">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根据投标人针对本项目提供的现场技术服务方案（包括安装调试、现场实施、技术培训等），由评委进行评分：方案内容能够完整、清晰阐述项目实施基础内容同时在确保方案实施的基础上增加有利于项目执行内容的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分；方案能够内容完整、清晰的阐述基本要求且符合项目实际操作的得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分；有提供方案，但阐述内容未完整响应基本要求的得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分；未提供或方案与项目不符的不得分。</w:t>
            </w:r>
          </w:p>
        </w:tc>
      </w:tr>
      <w:tr w14:paraId="2DBFA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trPr>
        <w:tc>
          <w:tcPr>
            <w:tcW w:w="1004" w:type="pct"/>
            <w:vAlign w:val="center"/>
          </w:tcPr>
          <w:p w14:paraId="6219D1B5">
            <w:pPr>
              <w:pStyle w:val="16"/>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3、配套设施建设方案</w:t>
            </w:r>
          </w:p>
        </w:tc>
        <w:tc>
          <w:tcPr>
            <w:tcW w:w="549" w:type="pct"/>
            <w:vAlign w:val="center"/>
          </w:tcPr>
          <w:p w14:paraId="409FC749">
            <w:pPr>
              <w:pStyle w:val="1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.00</w:t>
            </w:r>
          </w:p>
        </w:tc>
        <w:tc>
          <w:tcPr>
            <w:tcW w:w="541" w:type="pct"/>
            <w:vAlign w:val="center"/>
          </w:tcPr>
          <w:p w14:paraId="3B7B0359">
            <w:pPr>
              <w:pStyle w:val="16"/>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否</w:t>
            </w:r>
          </w:p>
        </w:tc>
        <w:tc>
          <w:tcPr>
            <w:tcW w:w="2904" w:type="pct"/>
            <w:vAlign w:val="top"/>
          </w:tcPr>
          <w:p w14:paraId="295678D1">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根据投标人针对本项目提供的配套设施建设方案（包括加固楼板承重、UPS室防火门、防静电地板安装、烟感防火系统、UPS机房空调系统、UPS机房监控系统、UPS及电池建设、电力改造等），由评委进行评分：方案内容能够完整、清晰阐述项目实施基础内容同时在确保方案实施的基础上增加有利于项目执行内容的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分；方案能够内容完整、清晰的阐述基本要求且符合项目实际操作的得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分；有提供方案，但阐述内容未完整响应基本要求的得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分；未提供或方案与项目不符的不得分。</w:t>
            </w:r>
          </w:p>
        </w:tc>
      </w:tr>
    </w:tbl>
    <w:p w14:paraId="7A9FCC32">
      <w:pPr>
        <w:pStyle w:val="16"/>
        <w:keepNext w:val="0"/>
        <w:keepLines w:val="0"/>
        <w:pageBreakBefore w:val="0"/>
        <w:widowControl/>
        <w:kinsoku/>
        <w:wordWrap/>
        <w:overflowPunct/>
        <w:topLinePunct w:val="0"/>
        <w:autoSpaceDE/>
        <w:autoSpaceDN/>
        <w:bidi w:val="0"/>
        <w:adjustRightInd/>
        <w:snapToGrid/>
        <w:spacing w:line="360" w:lineRule="atLeas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商务项（F3×A3）满分为</w:t>
      </w:r>
      <w:r>
        <w:rPr>
          <w:rFonts w:hint="eastAsia" w:ascii="宋体" w:hAnsi="宋体" w:eastAsia="宋体" w:cs="宋体"/>
          <w:color w:val="auto"/>
          <w:sz w:val="24"/>
          <w:szCs w:val="24"/>
          <w:highlight w:val="none"/>
          <w:lang w:val="en-US" w:eastAsia="zh-CN"/>
        </w:rPr>
        <w:t>6</w:t>
      </w:r>
      <w:r>
        <w:rPr>
          <w:rFonts w:ascii="宋体" w:hAnsi="宋体" w:eastAsia="宋体" w:cs="宋体"/>
          <w:color w:val="auto"/>
          <w:sz w:val="24"/>
          <w:szCs w:val="24"/>
          <w:highlight w:val="none"/>
        </w:rPr>
        <w:t>.0000分</w:t>
      </w:r>
    </w:p>
    <w:tbl>
      <w:tblPr>
        <w:tblStyle w:val="11"/>
        <w:tblW w:w="489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26"/>
        <w:gridCol w:w="1028"/>
        <w:gridCol w:w="936"/>
        <w:gridCol w:w="5151"/>
      </w:tblGrid>
      <w:tr w14:paraId="11609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2" w:hRule="atLeast"/>
        </w:trPr>
        <w:tc>
          <w:tcPr>
            <w:tcW w:w="976" w:type="pct"/>
            <w:vAlign w:val="center"/>
          </w:tcPr>
          <w:p w14:paraId="547227BF">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w:t>
            </w:r>
          </w:p>
        </w:tc>
        <w:tc>
          <w:tcPr>
            <w:tcW w:w="581" w:type="pct"/>
            <w:vAlign w:val="center"/>
          </w:tcPr>
          <w:p w14:paraId="2A6E9716">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分值</w:t>
            </w:r>
          </w:p>
        </w:tc>
        <w:tc>
          <w:tcPr>
            <w:tcW w:w="529" w:type="pct"/>
            <w:vAlign w:val="center"/>
          </w:tcPr>
          <w:p w14:paraId="4CB9C2A0">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是否客观项</w:t>
            </w:r>
          </w:p>
        </w:tc>
        <w:tc>
          <w:tcPr>
            <w:tcW w:w="2912" w:type="pct"/>
            <w:vAlign w:val="center"/>
          </w:tcPr>
          <w:p w14:paraId="2DA27179">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描述</w:t>
            </w:r>
          </w:p>
        </w:tc>
      </w:tr>
      <w:tr w14:paraId="635FF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pct"/>
            <w:vAlign w:val="center"/>
          </w:tcPr>
          <w:p w14:paraId="06081606">
            <w:pPr>
              <w:pStyle w:val="16"/>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1、业绩</w:t>
            </w:r>
          </w:p>
        </w:tc>
        <w:tc>
          <w:tcPr>
            <w:tcW w:w="581" w:type="pct"/>
            <w:vAlign w:val="center"/>
          </w:tcPr>
          <w:p w14:paraId="2B0915CD">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w:t>
            </w:r>
          </w:p>
        </w:tc>
        <w:tc>
          <w:tcPr>
            <w:tcW w:w="529" w:type="pct"/>
            <w:vAlign w:val="center"/>
          </w:tcPr>
          <w:p w14:paraId="07B25C18">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2912" w:type="pct"/>
            <w:vAlign w:val="top"/>
          </w:tcPr>
          <w:p w14:paraId="0E54894F">
            <w:pPr>
              <w:pStyle w:val="16"/>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投标人提供的2022年1月1日至投标截止时间止（以合同签订时间为准）由投标人自身所完成的与本次招标同类业绩情况，由评标委员会进行评分：每提供一个业绩得1分，满分3分。注：投标人须提供完整合同复印件，并对合同内摇奖器具内容做清晰标注，否则不得分。投标人应就销售设备的最终使用机构进行说明，若属于销往赌场、非官方运营的彩票发行机构的业绩，将不予认可。投标产品或其同品牌的同类产品销售给经销商或代理商销售业绩不予认可（同类产品指同品牌的、与所投摇奖机主要性能相同的产品）。</w:t>
            </w:r>
          </w:p>
        </w:tc>
      </w:tr>
      <w:tr w14:paraId="239E3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pct"/>
            <w:vAlign w:val="center"/>
          </w:tcPr>
          <w:p w14:paraId="06306D32">
            <w:pPr>
              <w:pStyle w:val="16"/>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2、售后服务方案</w:t>
            </w:r>
          </w:p>
        </w:tc>
        <w:tc>
          <w:tcPr>
            <w:tcW w:w="581" w:type="pct"/>
            <w:vAlign w:val="center"/>
          </w:tcPr>
          <w:p w14:paraId="3A3E2289">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CN"/>
              </w:rPr>
              <w:t>3.00</w:t>
            </w:r>
          </w:p>
        </w:tc>
        <w:tc>
          <w:tcPr>
            <w:tcW w:w="529" w:type="pct"/>
            <w:vAlign w:val="center"/>
          </w:tcPr>
          <w:p w14:paraId="6D4B8D6A">
            <w:pPr>
              <w:pStyle w:val="16"/>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Hans"/>
              </w:rPr>
            </w:pPr>
            <w:r>
              <w:rPr>
                <w:rFonts w:hint="eastAsia" w:ascii="宋体" w:hAnsi="宋体" w:eastAsia="宋体" w:cs="宋体"/>
                <w:color w:val="auto"/>
                <w:sz w:val="24"/>
                <w:szCs w:val="24"/>
                <w:lang w:val="en-US" w:eastAsia="zh-CN"/>
              </w:rPr>
              <w:t>否</w:t>
            </w:r>
          </w:p>
        </w:tc>
        <w:tc>
          <w:tcPr>
            <w:tcW w:w="2912" w:type="pct"/>
            <w:vAlign w:val="top"/>
          </w:tcPr>
          <w:p w14:paraId="6BC79297">
            <w:pPr>
              <w:pStyle w:val="16"/>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根据投标人针对本项目提供的</w:t>
            </w:r>
            <w:r>
              <w:rPr>
                <w:rFonts w:hint="eastAsia" w:ascii="宋体" w:hAnsi="宋体" w:eastAsia="宋体" w:cs="宋体"/>
                <w:color w:val="auto"/>
                <w:sz w:val="24"/>
                <w:szCs w:val="24"/>
                <w:highlight w:val="none"/>
                <w:lang w:val="en-US" w:eastAsia="zh-CN"/>
              </w:rPr>
              <w:t>售后服务方案</w:t>
            </w:r>
            <w:r>
              <w:rPr>
                <w:rFonts w:hint="eastAsia" w:ascii="宋体" w:hAnsi="宋体" w:eastAsia="宋体" w:cs="宋体"/>
                <w:color w:val="auto"/>
                <w:sz w:val="24"/>
                <w:szCs w:val="24"/>
              </w:rPr>
              <w:t>（包括售后服务、质保期、</w:t>
            </w:r>
            <w:r>
              <w:rPr>
                <w:rFonts w:hint="eastAsia" w:ascii="宋体" w:hAnsi="宋体" w:eastAsia="宋体" w:cs="宋体"/>
                <w:color w:val="auto"/>
                <w:sz w:val="24"/>
                <w:szCs w:val="24"/>
                <w:lang w:val="en-US" w:eastAsia="zh-CN"/>
              </w:rPr>
              <w:t>现场</w:t>
            </w:r>
            <w:r>
              <w:rPr>
                <w:rFonts w:hint="eastAsia" w:ascii="宋体" w:hAnsi="宋体" w:eastAsia="宋体" w:cs="宋体"/>
                <w:color w:val="auto"/>
                <w:sz w:val="24"/>
                <w:szCs w:val="24"/>
              </w:rPr>
              <w:t>服务、故障响应等），由评委进行评分：方案内容能够完整、清晰阐述项目实施基础内容同时在确保方案实施的基础上增加有利于项目执行内容的得3分；方案能够内容完整、清晰的阐述基本要求且符合项目实际操作的得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分；有提供方案，但阐述内容未完整响应基本要求的得2分；未提供或方案与项目不符的不得分。</w:t>
            </w:r>
          </w:p>
        </w:tc>
      </w:tr>
      <w:bookmarkEnd w:id="0"/>
      <w:bookmarkEnd w:id="1"/>
    </w:tbl>
    <w:p w14:paraId="1AEF6519">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异常低价审查</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83"/>
        <w:gridCol w:w="6963"/>
      </w:tblGrid>
      <w:tr w14:paraId="6002E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83" w:type="dxa"/>
          </w:tcPr>
          <w:p w14:paraId="638D9117">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w:t>
            </w:r>
          </w:p>
        </w:tc>
        <w:tc>
          <w:tcPr>
            <w:tcW w:w="6963" w:type="dxa"/>
          </w:tcPr>
          <w:p w14:paraId="441890A1">
            <w:pPr>
              <w:pStyle w:val="16"/>
              <w:keepNext w:val="0"/>
              <w:keepLines w:val="0"/>
              <w:pageBreakBefore w:val="0"/>
              <w:widowControl/>
              <w:kinsoku/>
              <w:wordWrap/>
              <w:overflowPunct/>
              <w:topLinePunct w:val="0"/>
              <w:autoSpaceDE/>
              <w:autoSpaceDN/>
              <w:bidi w:val="0"/>
              <w:adjustRightInd/>
              <w:snapToGrid/>
              <w:spacing w:line="360" w:lineRule="atLeas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描述</w:t>
            </w:r>
          </w:p>
        </w:tc>
      </w:tr>
      <w:tr w14:paraId="0FD87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83" w:type="dxa"/>
            <w:vAlign w:val="center"/>
          </w:tcPr>
          <w:p w14:paraId="5462AA92">
            <w:pPr>
              <w:pStyle w:val="16"/>
              <w:keepNext w:val="0"/>
              <w:keepLines w:val="0"/>
              <w:pageBreakBefore w:val="0"/>
              <w:widowControl/>
              <w:kinsoku/>
              <w:wordWrap/>
              <w:overflowPunct/>
              <w:topLinePunct w:val="0"/>
              <w:autoSpaceDE/>
              <w:autoSpaceDN/>
              <w:bidi w:val="0"/>
              <w:adjustRightInd/>
              <w:snapToGrid/>
              <w:spacing w:line="360" w:lineRule="atLeast"/>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异常低价审查</w:t>
            </w:r>
          </w:p>
        </w:tc>
        <w:tc>
          <w:tcPr>
            <w:tcW w:w="6963" w:type="dxa"/>
          </w:tcPr>
          <w:p w14:paraId="1629904C">
            <w:pPr>
              <w:pStyle w:val="16"/>
              <w:keepNext w:val="0"/>
              <w:keepLines w:val="0"/>
              <w:pageBreakBefore w:val="0"/>
              <w:widowControl/>
              <w:kinsoku/>
              <w:wordWrap/>
              <w:overflowPunct/>
              <w:topLinePunct w:val="0"/>
              <w:autoSpaceDE/>
              <w:autoSpaceDN/>
              <w:bidi w:val="0"/>
              <w:adjustRightInd/>
              <w:snapToGrid/>
              <w:spacing w:line="360" w:lineRule="atLeast"/>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关于推动解决政府采购异常低价问题的通知》（财库〔2026〕2号）等相关规定，政府采购评审中出现下列情形之一的，评审委员会应当启动异常低价投标（响应）审查程序：（1）摇奖机采购项目响应报价低于全部通过符合性审查供应商响应报价平均值50%的，即摇奖机采购项目响应报价&lt;全部通过符合性审查供应商响应报价平均值×50%。（2）摇奖机采购项目响应报价低于通过符合性审查且报价次低供应商响应报价50%的，即摇奖机采购项目响应报价&lt;通过符合性审查且报价次低供应商响应报价×50%。 （3）摇奖机采购项目响应报价低于最高限价45%的，即摇奖机采购项目响应报价&lt;最高限价×45%。（4）其他评审委员会认为供应商报价过低，有可能影响产品质量或者不能诚信履约的情形。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r>
              <w:rPr>
                <w:rFonts w:ascii="宋体" w:hAnsi="宋体" w:eastAsia="宋体" w:cs="宋体"/>
                <w:color w:val="auto"/>
                <w:sz w:val="24"/>
                <w:szCs w:val="24"/>
                <w:highlight w:val="none"/>
                <w:lang w:val="en-US" w:eastAsia="zh-CN"/>
              </w:rPr>
              <w:t xml:space="preserve"> </w:t>
            </w:r>
          </w:p>
        </w:tc>
      </w:tr>
    </w:tbl>
    <w:p w14:paraId="4BDB212B">
      <w:pPr>
        <w:pStyle w:val="16"/>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C52474A">
      <w:pPr>
        <w:pStyle w:val="16"/>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8D9BC19">
      <w:pPr>
        <w:pStyle w:val="16"/>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E684755">
      <w:pPr>
        <w:pStyle w:val="16"/>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1B56A937">
      <w:pPr>
        <w:pStyle w:val="16"/>
        <w:keepNext w:val="0"/>
        <w:keepLines w:val="0"/>
        <w:pageBreakBefore w:val="0"/>
        <w:widowControl/>
        <w:kinsoku/>
        <w:wordWrap/>
        <w:overflowPunct/>
        <w:topLinePunct w:val="0"/>
        <w:autoSpaceDE/>
        <w:autoSpaceDN/>
        <w:bidi w:val="0"/>
        <w:adjustRightInd/>
        <w:snapToGrid/>
        <w:spacing w:line="350" w:lineRule="exac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14:paraId="6DDC2C92">
      <w:pPr>
        <w:pStyle w:val="16"/>
        <w:keepNext w:val="0"/>
        <w:keepLines w:val="0"/>
        <w:pageBreakBefore w:val="0"/>
        <w:widowControl/>
        <w:kinsoku/>
        <w:wordWrap/>
        <w:overflowPunct/>
        <w:topLinePunct w:val="0"/>
        <w:autoSpaceDE/>
        <w:autoSpaceDN/>
        <w:bidi w:val="0"/>
        <w:adjustRightInd/>
        <w:snapToGrid/>
        <w:spacing w:line="350" w:lineRule="exac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（3）中标候选人排列规则顺序如下：</w:t>
      </w:r>
    </w:p>
    <w:p w14:paraId="20335BC5">
      <w:pPr>
        <w:pStyle w:val="16"/>
        <w:keepNext w:val="0"/>
        <w:keepLines w:val="0"/>
        <w:pageBreakBefore w:val="0"/>
        <w:widowControl/>
        <w:kinsoku/>
        <w:wordWrap/>
        <w:overflowPunct/>
        <w:topLinePunct w:val="0"/>
        <w:autoSpaceDE/>
        <w:autoSpaceDN/>
        <w:bidi w:val="0"/>
        <w:adjustRightInd/>
        <w:snapToGrid/>
        <w:spacing w:line="350" w:lineRule="exac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a.按照评标总得分（FA）由高到低顺序排列。</w:t>
      </w:r>
    </w:p>
    <w:p w14:paraId="017EA9E2">
      <w:pPr>
        <w:pStyle w:val="16"/>
        <w:keepNext w:val="0"/>
        <w:keepLines w:val="0"/>
        <w:pageBreakBefore w:val="0"/>
        <w:widowControl/>
        <w:kinsoku/>
        <w:wordWrap/>
        <w:overflowPunct/>
        <w:topLinePunct w:val="0"/>
        <w:autoSpaceDE/>
        <w:autoSpaceDN/>
        <w:bidi w:val="0"/>
        <w:adjustRightInd/>
        <w:snapToGrid/>
        <w:spacing w:line="350" w:lineRule="exac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b.评标总得分（FA）相同的，按照评标价（即价格扣除后的投标报价）由低到高顺序排列。</w:t>
      </w:r>
    </w:p>
    <w:p w14:paraId="23B54CE0">
      <w:pPr>
        <w:pStyle w:val="16"/>
        <w:keepNext w:val="0"/>
        <w:keepLines w:val="0"/>
        <w:pageBreakBefore w:val="0"/>
        <w:widowControl/>
        <w:kinsoku/>
        <w:wordWrap/>
        <w:overflowPunct/>
        <w:topLinePunct w:val="0"/>
        <w:autoSpaceDE/>
        <w:autoSpaceDN/>
        <w:bidi w:val="0"/>
        <w:adjustRightInd/>
        <w:snapToGrid/>
        <w:spacing w:line="350" w:lineRule="exact"/>
        <w:ind w:firstLine="480" w:firstLineChars="20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c.评标总得分（FA）且评标价（即价格扣除后的投标报价）相同的并列。</w:t>
      </w:r>
    </w:p>
    <w:p w14:paraId="4F01ACED">
      <w:pPr>
        <w:pStyle w:val="16"/>
        <w:keepNext w:val="0"/>
        <w:keepLines w:val="0"/>
        <w:pageBreakBefore w:val="0"/>
        <w:widowControl/>
        <w:kinsoku/>
        <w:wordWrap/>
        <w:overflowPunct/>
        <w:topLinePunct w:val="0"/>
        <w:autoSpaceDE/>
        <w:autoSpaceDN/>
        <w:bidi w:val="0"/>
        <w:adjustRightInd/>
        <w:snapToGrid/>
        <w:spacing w:line="350" w:lineRule="exac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8、其他规定8.1评标应全程保密且不得透露给任一投标人或与评标工作无关的人员。</w:t>
      </w:r>
    </w:p>
    <w:p w14:paraId="012D0B66">
      <w:pPr>
        <w:pStyle w:val="16"/>
        <w:keepNext w:val="0"/>
        <w:keepLines w:val="0"/>
        <w:pageBreakBefore w:val="0"/>
        <w:widowControl/>
        <w:kinsoku/>
        <w:wordWrap/>
        <w:overflowPunct/>
        <w:topLinePunct w:val="0"/>
        <w:autoSpaceDE/>
        <w:autoSpaceDN/>
        <w:bidi w:val="0"/>
        <w:adjustRightInd/>
        <w:snapToGrid/>
        <w:spacing w:line="350" w:lineRule="exac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8.2评标将进行全程实时录音录像，录音录像资料随采购文件一并存档。</w:t>
      </w:r>
    </w:p>
    <w:p w14:paraId="0112B82D">
      <w:pPr>
        <w:pStyle w:val="16"/>
        <w:keepNext w:val="0"/>
        <w:keepLines w:val="0"/>
        <w:pageBreakBefore w:val="0"/>
        <w:widowControl/>
        <w:kinsoku/>
        <w:wordWrap/>
        <w:overflowPunct/>
        <w:topLinePunct w:val="0"/>
        <w:autoSpaceDE/>
        <w:autoSpaceDN/>
        <w:bidi w:val="0"/>
        <w:adjustRightInd/>
        <w:snapToGrid/>
        <w:spacing w:line="350" w:lineRule="exac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4CBBD7B3">
      <w:pPr>
        <w:pStyle w:val="16"/>
        <w:keepNext w:val="0"/>
        <w:keepLines w:val="0"/>
        <w:pageBreakBefore w:val="0"/>
        <w:widowControl/>
        <w:kinsoku/>
        <w:wordWrap/>
        <w:overflowPunct/>
        <w:topLinePunct w:val="0"/>
        <w:autoSpaceDE/>
        <w:autoSpaceDN/>
        <w:bidi w:val="0"/>
        <w:adjustRightInd/>
        <w:snapToGrid/>
        <w:spacing w:line="350" w:lineRule="exact"/>
        <w:ind w:firstLine="480"/>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8.4其他：</w:t>
      </w:r>
    </w:p>
    <w:p w14:paraId="6C9E5C9E">
      <w:pPr>
        <w:pStyle w:val="16"/>
        <w:keepNext w:val="0"/>
        <w:keepLines w:val="0"/>
        <w:pageBreakBefore w:val="0"/>
        <w:widowControl/>
        <w:kinsoku/>
        <w:wordWrap/>
        <w:overflowPunct/>
        <w:topLinePunct w:val="0"/>
        <w:autoSpaceDE/>
        <w:autoSpaceDN/>
        <w:bidi w:val="0"/>
        <w:adjustRightInd/>
        <w:snapToGrid/>
        <w:spacing w:line="350" w:lineRule="exact"/>
        <w:ind w:firstLine="480" w:firstLineChars="200"/>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rPr>
        <w:t>8.4.</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根据《国务院办公厅关于在政府采购中实施本国产品标准及相关政策的通知》（国办发〔2025〕34号）、关于贯彻落实《国务院办公厅关于在政府采购中实施本国产品标准及相关政策的通知》的意见（财库〔2025〕30号）文件通知，政府采购活动中既有本国产品又有非本国产品参与竞争的，依法对本国产品给予价格评审优惠，对本国产品的报价给予20%的价格扣除，用扣除后的价格参与评审。当采购项目或者采购包中含有多种产品，</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为该采购项目或者采购包提供的符合本国产品标准的产品成本之和占该</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提供的全部产品成本之和的比例达到80%以上时，依法对该</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提供的全部产品给予价格评审优惠，即对该</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提供的全部产品的总报价给予20%的价格扣除，用扣除后的价格参与评审。8.4.2</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提供的产品符合本国产品标准的，应在投标文件报价部分中对其提供的产品出具《关于符合本国产品标准的声明函》（格式见附件，以下简称《声明函》）或财政部会同有关部门规定的有关证明文件，</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须提供《声明函》或财政部会同有关部门规定的有关证明文件”。出具符合要求的《声明函》或财政部会同有关部门规定的有关证明文件的，该产品视为本国产品。8.4.3当采购项目或者采购包中含有多种产品，</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为该采购项目或者采购包提供的符合本国产品标准的产品成本之和占该</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提供的全部产品成本之和的比例达到80%以上时，</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除需按照8.4.2条规定提供《关于符合本国产品标准的声明函》外，还需提供《关于符合本国产品标准的成本占比的承诺函》（样式见附件），否则不给予价格扣除。8.4.4</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提供虚假《声明函》、虚假证明文件谋取中标、成交的，依照《中华人民共和国政府采购法》等法律法规规定追究相应责任。</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未提供《声明函》的，不享受本国产品价格评审扣除优惠。评审中发现《声明函》内容含义不明确、同类事项与投标（响应）文件表述不一致或者有明显文字错误等情况的，应当以书面形式要求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作出必要的澄清、说明或者补正。经澄清、说明或者补正的《声明函》仍然不符合《通知》规定要求的，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提供的相关产品视为不符合本国产品标准。</w:t>
      </w: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4ACC577A">
      <w:pPr>
        <w:pStyle w:val="16"/>
        <w:jc w:val="center"/>
        <w:outlineLvl w:val="1"/>
        <w:rPr>
          <w:rFonts w:hint="default" w:ascii="宋体" w:hAnsi="宋体" w:eastAsia="宋体" w:cs="宋体"/>
          <w:color w:val="auto"/>
          <w:sz w:val="24"/>
          <w:szCs w:val="24"/>
          <w:highlight w:val="none"/>
        </w:rPr>
      </w:pPr>
      <w:r>
        <w:rPr>
          <w:rFonts w:ascii="宋体" w:hAnsi="宋体" w:eastAsia="宋体" w:cs="宋体"/>
          <w:b/>
          <w:color w:val="auto"/>
          <w:sz w:val="32"/>
          <w:szCs w:val="32"/>
          <w:highlight w:val="none"/>
        </w:rPr>
        <w:t>第五章 招标内容及要求</w:t>
      </w:r>
    </w:p>
    <w:p w14:paraId="47B24C7F">
      <w:pPr>
        <w:pStyle w:val="16"/>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一、项目概况（采购标的）</w:t>
      </w:r>
    </w:p>
    <w:p w14:paraId="2F21C4F0">
      <w:pPr>
        <w:pStyle w:val="16"/>
        <w:keepNext w:val="0"/>
        <w:keepLines w:val="0"/>
        <w:pageBreakBefore w:val="0"/>
        <w:widowControl/>
        <w:kinsoku/>
        <w:wordWrap/>
        <w:overflowPunct/>
        <w:topLinePunct w:val="0"/>
        <w:autoSpaceDE/>
        <w:autoSpaceDN/>
        <w:bidi w:val="0"/>
        <w:adjustRightInd/>
        <w:snapToGrid/>
        <w:spacing w:line="320" w:lineRule="exact"/>
        <w:ind w:firstLine="480" w:firstLineChars="200"/>
        <w:jc w:val="both"/>
        <w:textAlignment w:val="auto"/>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项目为福建省体育彩票管理中心摇奖机采购项目，依据《国家体育总局体育彩票管理中心关于印发中国体育彩票乐透、数字型游戏摇奖管理办法的通知》（体彩字〔2023〕399号）要求，对标总局摇奖设备更新标准，结合计奖与摇奖现场处置方案，本次采购配置7台摇奖机，包括36选7、31选7、22选5游戏主备摇奖机共6台，灾备摇奖机1台。采购各游戏正式球、备用球、试机球及灾备用球共445个及配套设施建设，以此保障本省摇奖设备持续稳定运行，确保地方游戏摇奖工作安全有序开展</w:t>
      </w:r>
      <w:r>
        <w:rPr>
          <w:rFonts w:ascii="宋体" w:hAnsi="宋体" w:eastAsia="宋体" w:cs="宋体"/>
          <w:color w:val="auto"/>
          <w:sz w:val="24"/>
          <w:szCs w:val="24"/>
          <w:highlight w:val="none"/>
        </w:rPr>
        <w:t>。</w:t>
      </w:r>
    </w:p>
    <w:p w14:paraId="6FD47F58">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482" w:firstLineChars="0"/>
        <w:jc w:val="left"/>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投标人提供的所有产品必须通过合法渠道获得，具有在中国境内的合法使用权和用户保护权且为原装正品行货，包装标示完整。如包装不完整、标示不齐，修改、撕毁，进货渠道不明，质量不达标，采购人有权拒收，并由投标人承担违约责任。货物技术参数必须符合或优于国家及行业相关标准。</w:t>
      </w:r>
    </w:p>
    <w:p w14:paraId="1C5FD314">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482" w:firstLineChars="0"/>
        <w:jc w:val="left"/>
        <w:textAlignment w:val="auto"/>
        <w:rPr>
          <w:rFonts w:hint="eastAsia" w:ascii="宋体" w:hAnsi="宋体" w:eastAsia="宋体" w:cs="宋体"/>
          <w:b w:val="0"/>
          <w:bCs/>
          <w:color w:val="auto"/>
          <w:sz w:val="24"/>
          <w:szCs w:val="24"/>
          <w:lang w:val="en-US" w:eastAsia="zh-Hans"/>
        </w:rPr>
      </w:pP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eastAsia="zh-Hans"/>
        </w:rPr>
        <w:t>、本次招标的所有</w:t>
      </w:r>
      <w:r>
        <w:rPr>
          <w:rFonts w:hint="eastAsia" w:ascii="宋体" w:hAnsi="宋体" w:eastAsia="宋体" w:cs="宋体"/>
          <w:b w:val="0"/>
          <w:bCs/>
          <w:color w:val="auto"/>
          <w:sz w:val="24"/>
          <w:szCs w:val="24"/>
          <w:lang w:val="en-US" w:eastAsia="zh-CN"/>
        </w:rPr>
        <w:t>产品</w:t>
      </w:r>
      <w:r>
        <w:rPr>
          <w:rFonts w:hint="eastAsia" w:ascii="宋体" w:hAnsi="宋体" w:eastAsia="宋体" w:cs="宋体"/>
          <w:b w:val="0"/>
          <w:bCs/>
          <w:color w:val="auto"/>
          <w:sz w:val="24"/>
          <w:szCs w:val="24"/>
          <w:lang w:val="en-US" w:eastAsia="zh-Hans"/>
        </w:rPr>
        <w:t>必须为全新原装</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eastAsia="zh-Hans"/>
        </w:rPr>
        <w:t>投标人应以包括货物所涉及的有关项目的所有费用进行报价，包括货物制造、备件、工具、技术资料、税金、保险、包装、运输、装卸、安装、调试、检验、验收、培训、保修等一切相关费用</w:t>
      </w:r>
      <w:r>
        <w:rPr>
          <w:rFonts w:hint="eastAsia" w:ascii="宋体" w:hAnsi="宋体" w:eastAsia="宋体" w:cs="宋体"/>
          <w:b w:val="0"/>
          <w:bCs w:val="0"/>
          <w:color w:val="auto"/>
          <w:sz w:val="24"/>
          <w:highlight w:val="none"/>
          <w:lang w:val="en-US" w:eastAsia="zh-CN"/>
        </w:rPr>
        <w:t>，采购人不再另行支付其他费用</w:t>
      </w:r>
      <w:r>
        <w:rPr>
          <w:rFonts w:hint="eastAsia" w:ascii="宋体" w:hAnsi="宋体" w:eastAsia="宋体" w:cs="宋体"/>
          <w:b w:val="0"/>
          <w:bCs/>
          <w:color w:val="auto"/>
          <w:sz w:val="24"/>
          <w:szCs w:val="24"/>
          <w:lang w:val="en-US" w:eastAsia="zh-Hans"/>
        </w:rPr>
        <w:t>。</w:t>
      </w:r>
    </w:p>
    <w:p w14:paraId="0549220E">
      <w:pPr>
        <w:pStyle w:val="16"/>
        <w:keepNext w:val="0"/>
        <w:keepLines w:val="0"/>
        <w:pageBreakBefore w:val="0"/>
        <w:widowControl/>
        <w:kinsoku/>
        <w:wordWrap/>
        <w:overflowPunct/>
        <w:topLinePunct w:val="0"/>
        <w:autoSpaceDE/>
        <w:autoSpaceDN/>
        <w:bidi w:val="0"/>
        <w:adjustRightInd/>
        <w:snapToGrid/>
        <w:spacing w:line="320" w:lineRule="exact"/>
        <w:ind w:firstLine="482" w:firstLineChars="200"/>
        <w:jc w:val="both"/>
        <w:textAlignment w:val="auto"/>
        <w:outlineLvl w:val="2"/>
        <w:rPr>
          <w:rFonts w:ascii="宋体" w:hAnsi="宋体" w:eastAsia="宋体" w:cs="宋体"/>
          <w:color w:val="auto"/>
          <w:sz w:val="24"/>
          <w:szCs w:val="24"/>
          <w:highlight w:val="none"/>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lang w:val="en-US" w:eastAsia="zh-Hans"/>
        </w:rPr>
        <w:t>、若提供相同品牌产品的不同投标人参加同一合同项下投标的，按招标文件相关规定执行。凡是列入核心产品范围的，其中任一产品出现相同品牌的，均被认定为一家投标人来计算。</w:t>
      </w:r>
    </w:p>
    <w:p w14:paraId="039B7691">
      <w:pPr>
        <w:pStyle w:val="16"/>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二、技术和服务要求（以“★”标示的内容为不允许负偏离的实质性要求）</w:t>
      </w:r>
    </w:p>
    <w:p w14:paraId="2132B5F9">
      <w:pPr>
        <w:ind w:firstLine="480" w:firstLineChars="200"/>
        <w:rPr>
          <w:rFonts w:hint="eastAsia" w:asciiTheme="majorEastAsia" w:hAnsiTheme="majorEastAsia" w:eastAsiaTheme="majorEastAsia" w:cstheme="majorEastAsia"/>
          <w:color w:val="auto"/>
          <w:sz w:val="24"/>
          <w:szCs w:val="24"/>
          <w:lang w:eastAsia="zh-CN"/>
          <w14:ligatures w14:val="standardContextual"/>
        </w:rPr>
      </w:pPr>
      <w:r>
        <w:rPr>
          <w:rFonts w:hint="eastAsia" w:asciiTheme="majorEastAsia" w:hAnsiTheme="majorEastAsia" w:eastAsiaTheme="majorEastAsia" w:cstheme="majorEastAsia"/>
          <w:color w:val="auto"/>
          <w:sz w:val="24"/>
          <w:szCs w:val="24"/>
          <w:lang w:val="en-US" w:eastAsia="zh-CN"/>
        </w:rPr>
        <w:t>1.</w:t>
      </w:r>
      <w:r>
        <w:rPr>
          <w:rFonts w:hint="eastAsia" w:asciiTheme="majorEastAsia" w:hAnsiTheme="majorEastAsia" w:eastAsiaTheme="majorEastAsia" w:cstheme="majorEastAsia"/>
          <w:color w:val="auto"/>
          <w:sz w:val="24"/>
          <w:szCs w:val="24"/>
        </w:rPr>
        <w:t>本次项目建设内容包括中国体育彩票福建省36选7游戏、</w:t>
      </w:r>
      <w:r>
        <w:rPr>
          <w:rFonts w:hint="eastAsia" w:asciiTheme="majorEastAsia" w:hAnsiTheme="majorEastAsia" w:eastAsiaTheme="majorEastAsia" w:cstheme="majorEastAsia"/>
          <w:color w:val="auto"/>
          <w:sz w:val="24"/>
          <w:szCs w:val="24"/>
          <w14:ligatures w14:val="standardContextual"/>
        </w:rPr>
        <w:t>31选7游戏、22选5游戏的主备摇奖机和灾备摇奖机及配套摇奖球的采购，同时对摇奖设备配套设施进行改造，包括电力系统、UPS系统、消防系统、监控系统、空调系统等。</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w:t>
      </w:r>
      <w:r>
        <w:rPr>
          <w:rFonts w:hint="eastAsia" w:asciiTheme="majorEastAsia" w:hAnsiTheme="majorEastAsia" w:eastAsiaTheme="majorEastAsia" w:cstheme="majorEastAsia"/>
          <w:color w:val="auto"/>
          <w:sz w:val="24"/>
          <w:szCs w:val="24"/>
          <w:lang w:eastAsia="zh-CN"/>
          <w14:ligatures w14:val="standardContextual"/>
        </w:rPr>
        <w:t>）</w:t>
      </w:r>
    </w:p>
    <w:p w14:paraId="6A335772">
      <w:pPr>
        <w:ind w:firstLine="480" w:firstLineChars="20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lang w:val="en-US" w:eastAsia="zh-CN"/>
        </w:rPr>
        <w:t>2.</w:t>
      </w:r>
      <w:r>
        <w:rPr>
          <w:rFonts w:hint="eastAsia" w:asciiTheme="majorEastAsia" w:hAnsiTheme="majorEastAsia" w:eastAsiaTheme="majorEastAsia" w:cstheme="majorEastAsia"/>
          <w:color w:val="auto"/>
          <w:sz w:val="24"/>
          <w:szCs w:val="24"/>
        </w:rPr>
        <w:t>包含所有的清单设备及软件的安装调试、培训、辅助材料及配件。</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w:t>
      </w:r>
      <w:r>
        <w:rPr>
          <w:rFonts w:hint="eastAsia" w:asciiTheme="majorEastAsia" w:hAnsiTheme="majorEastAsia" w:eastAsiaTheme="majorEastAsia" w:cstheme="majorEastAsia"/>
          <w:color w:val="auto"/>
          <w:sz w:val="24"/>
          <w:szCs w:val="24"/>
          <w:lang w:eastAsia="zh-CN"/>
          <w14:ligatures w14:val="standardContextual"/>
        </w:rPr>
        <w:t>）</w:t>
      </w:r>
    </w:p>
    <w:p w14:paraId="5E75FC28">
      <w:pPr>
        <w:ind w:firstLine="240" w:firstLineChars="100"/>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kern w:val="0"/>
          <w:sz w:val="24"/>
          <w:szCs w:val="24"/>
        </w:rPr>
        <w:t>★</w:t>
      </w:r>
      <w:r>
        <w:rPr>
          <w:rFonts w:hint="eastAsia" w:asciiTheme="majorEastAsia" w:hAnsiTheme="majorEastAsia" w:eastAsiaTheme="majorEastAsia" w:cstheme="majorEastAsia"/>
          <w:color w:val="auto"/>
          <w:sz w:val="24"/>
          <w:szCs w:val="24"/>
          <w:lang w:val="en-US" w:eastAsia="zh-CN"/>
        </w:rPr>
        <w:t>3.</w:t>
      </w:r>
      <w:r>
        <w:rPr>
          <w:rFonts w:hint="eastAsia" w:asciiTheme="majorEastAsia" w:hAnsiTheme="majorEastAsia" w:eastAsiaTheme="majorEastAsia" w:cstheme="majorEastAsia"/>
          <w:color w:val="auto"/>
          <w:sz w:val="24"/>
          <w:szCs w:val="24"/>
        </w:rPr>
        <w:t>摇奖设备要求</w:t>
      </w:r>
      <w:r>
        <w:rPr>
          <w:rFonts w:hint="eastAsia" w:asciiTheme="majorEastAsia" w:hAnsiTheme="majorEastAsia" w:eastAsiaTheme="majorEastAsia" w:cstheme="majorEastAsia"/>
          <w:color w:val="auto"/>
          <w:sz w:val="24"/>
          <w:szCs w:val="24"/>
          <w:highlight w:val="none"/>
        </w:rPr>
        <w:t>（核心产品）</w:t>
      </w:r>
    </w:p>
    <w:tbl>
      <w:tblPr>
        <w:tblStyle w:val="11"/>
        <w:tblW w:w="49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6365"/>
        <w:gridCol w:w="830"/>
        <w:gridCol w:w="906"/>
      </w:tblGrid>
      <w:tr w14:paraId="4C12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463" w:type="pct"/>
            <w:noWrap/>
            <w:vAlign w:val="center"/>
          </w:tcPr>
          <w:p w14:paraId="326D3B8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val="0"/>
                <w:bCs w:val="0"/>
                <w:color w:val="auto"/>
                <w:kern w:val="0"/>
                <w:sz w:val="24"/>
                <w:szCs w:val="24"/>
                <w:lang w:eastAsia="zh-CN"/>
              </w:rPr>
            </w:pPr>
            <w:r>
              <w:rPr>
                <w:rFonts w:hint="eastAsia" w:asciiTheme="majorEastAsia" w:hAnsiTheme="majorEastAsia" w:eastAsiaTheme="majorEastAsia" w:cstheme="majorEastAsia"/>
                <w:b w:val="0"/>
                <w:bCs w:val="0"/>
                <w:color w:val="auto"/>
                <w:kern w:val="0"/>
                <w:sz w:val="24"/>
                <w:szCs w:val="24"/>
                <w:lang w:val="en-US" w:eastAsia="zh-CN"/>
              </w:rPr>
              <w:t>序号</w:t>
            </w:r>
          </w:p>
        </w:tc>
        <w:tc>
          <w:tcPr>
            <w:tcW w:w="3564" w:type="pct"/>
            <w:noWrap/>
            <w:vAlign w:val="center"/>
          </w:tcPr>
          <w:p w14:paraId="50AD7F2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val="0"/>
                <w:bCs w:val="0"/>
                <w:color w:val="auto"/>
                <w:kern w:val="0"/>
                <w:sz w:val="24"/>
                <w:szCs w:val="24"/>
              </w:rPr>
            </w:pPr>
            <w:r>
              <w:rPr>
                <w:rFonts w:hint="eastAsia" w:asciiTheme="majorEastAsia" w:hAnsiTheme="majorEastAsia" w:eastAsiaTheme="majorEastAsia" w:cstheme="majorEastAsia"/>
                <w:b w:val="0"/>
                <w:bCs w:val="0"/>
                <w:color w:val="auto"/>
                <w:kern w:val="0"/>
                <w:sz w:val="24"/>
                <w:szCs w:val="24"/>
              </w:rPr>
              <w:t>设备名称</w:t>
            </w:r>
          </w:p>
        </w:tc>
        <w:tc>
          <w:tcPr>
            <w:tcW w:w="465" w:type="pct"/>
            <w:noWrap/>
            <w:vAlign w:val="center"/>
          </w:tcPr>
          <w:p w14:paraId="7119292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val="0"/>
                <w:bCs w:val="0"/>
                <w:color w:val="auto"/>
                <w:kern w:val="0"/>
                <w:sz w:val="24"/>
                <w:szCs w:val="24"/>
              </w:rPr>
            </w:pPr>
            <w:r>
              <w:rPr>
                <w:rFonts w:hint="eastAsia" w:asciiTheme="majorEastAsia" w:hAnsiTheme="majorEastAsia" w:eastAsiaTheme="majorEastAsia" w:cstheme="majorEastAsia"/>
                <w:b w:val="0"/>
                <w:bCs w:val="0"/>
                <w:color w:val="auto"/>
                <w:kern w:val="0"/>
                <w:sz w:val="24"/>
                <w:szCs w:val="24"/>
              </w:rPr>
              <w:t>单位</w:t>
            </w:r>
          </w:p>
        </w:tc>
        <w:tc>
          <w:tcPr>
            <w:tcW w:w="507" w:type="pct"/>
            <w:noWrap/>
            <w:vAlign w:val="center"/>
          </w:tcPr>
          <w:p w14:paraId="128F653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val="0"/>
                <w:bCs w:val="0"/>
                <w:color w:val="auto"/>
                <w:kern w:val="0"/>
                <w:sz w:val="24"/>
                <w:szCs w:val="24"/>
              </w:rPr>
            </w:pPr>
            <w:r>
              <w:rPr>
                <w:rFonts w:hint="eastAsia" w:asciiTheme="majorEastAsia" w:hAnsiTheme="majorEastAsia" w:eastAsiaTheme="majorEastAsia" w:cstheme="majorEastAsia"/>
                <w:b w:val="0"/>
                <w:bCs w:val="0"/>
                <w:color w:val="auto"/>
                <w:kern w:val="0"/>
                <w:sz w:val="24"/>
                <w:szCs w:val="24"/>
              </w:rPr>
              <w:t>数量</w:t>
            </w:r>
          </w:p>
        </w:tc>
      </w:tr>
      <w:tr w14:paraId="3DA7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3" w:type="pct"/>
            <w:noWrap/>
            <w:vAlign w:val="center"/>
          </w:tcPr>
          <w:p w14:paraId="4BC6D59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1</w:t>
            </w:r>
          </w:p>
        </w:tc>
        <w:tc>
          <w:tcPr>
            <w:tcW w:w="3564" w:type="pct"/>
          </w:tcPr>
          <w:p w14:paraId="7EAF7DF8">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★36选7游戏摇奖机需求</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福建体彩36选7游戏是乐透型摇奖游戏，摇奖机需要从编号01-36的36个摇奖球中摇出8个摇奖球作为中奖号码。</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摇奖机最大装球数（球道容量和搅拌能力）应大于36个，最大出球数（展示球道容量）应大于8个，以适用于将来可能的新游戏或玩法调整。</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3、</w:t>
            </w:r>
            <w:r>
              <w:rPr>
                <w:rFonts w:hint="eastAsia" w:asciiTheme="majorEastAsia" w:hAnsiTheme="majorEastAsia" w:eastAsiaTheme="majorEastAsia" w:cstheme="majorEastAsia"/>
                <w:b/>
                <w:bCs/>
                <w:color w:val="auto"/>
                <w:kern w:val="0"/>
                <w:sz w:val="24"/>
                <w:szCs w:val="24"/>
              </w:rPr>
              <w:t>摇奖机应采用吹气式搅拌方式，投标人需提供在与本项目拟投产品应用场景类似，且面向全国的类似摇奖活动中使用的影像资料，投标文件中就类似摇奖活动进行介绍，并提供关键帧的截图，</w:t>
            </w:r>
            <w:r>
              <w:rPr>
                <w:rFonts w:hint="eastAsia" w:asciiTheme="majorEastAsia" w:hAnsiTheme="majorEastAsia" w:eastAsiaTheme="majorEastAsia" w:cstheme="majorEastAsia"/>
                <w:b/>
                <w:bCs/>
                <w:color w:val="auto"/>
                <w:kern w:val="0"/>
                <w:sz w:val="24"/>
                <w:szCs w:val="24"/>
                <w:highlight w:val="none"/>
              </w:rPr>
              <w:t>投标文件电子版中提供完整影像资料，并可通过主流播放器进行播放。</w:t>
            </w:r>
          </w:p>
        </w:tc>
        <w:tc>
          <w:tcPr>
            <w:tcW w:w="465" w:type="pct"/>
            <w:noWrap/>
            <w:vAlign w:val="center"/>
          </w:tcPr>
          <w:p w14:paraId="3D94643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套</w:t>
            </w:r>
          </w:p>
        </w:tc>
        <w:tc>
          <w:tcPr>
            <w:tcW w:w="507" w:type="pct"/>
            <w:noWrap/>
            <w:vAlign w:val="center"/>
          </w:tcPr>
          <w:p w14:paraId="68C4ED3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w:t>
            </w:r>
          </w:p>
        </w:tc>
      </w:tr>
      <w:tr w14:paraId="6F03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3" w:type="pct"/>
            <w:noWrap/>
            <w:vAlign w:val="center"/>
          </w:tcPr>
          <w:p w14:paraId="203A32D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2</w:t>
            </w:r>
          </w:p>
        </w:tc>
        <w:tc>
          <w:tcPr>
            <w:tcW w:w="3564" w:type="pct"/>
            <w:vAlign w:val="center"/>
          </w:tcPr>
          <w:p w14:paraId="4CC61AB3">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★31选7游戏摇奖机需求</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福建体彩31选7游戏是乐透型摇奖游戏，摇奖机需要从编号01-31的31个摇奖球中摇出8个摇奖球作为中奖号码。</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摇奖机最大装球数（球道容量和搅拌能力）应大于31个，最大出球数（展示球道容量）应大于8个，以适用于将来可能的新游戏或玩法调整。</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b/>
                <w:bCs/>
                <w:color w:val="auto"/>
                <w:kern w:val="0"/>
                <w:sz w:val="24"/>
                <w:szCs w:val="24"/>
                <w:highlight w:val="none"/>
                <w:lang w:val="en-US" w:eastAsia="zh-CN"/>
              </w:rPr>
              <w:t>3、</w:t>
            </w:r>
            <w:r>
              <w:rPr>
                <w:rFonts w:hint="eastAsia" w:asciiTheme="majorEastAsia" w:hAnsiTheme="majorEastAsia" w:eastAsiaTheme="majorEastAsia" w:cstheme="majorEastAsia"/>
                <w:b/>
                <w:bCs/>
                <w:color w:val="auto"/>
                <w:kern w:val="0"/>
                <w:sz w:val="24"/>
                <w:szCs w:val="24"/>
                <w:highlight w:val="none"/>
              </w:rPr>
              <w:t>摇奖机应采用吹气式搅拌方式，投标人需提供在与本项目拟投产品应用场景类似，且面向全国的类似摇奖活动中使用的影像资料，投标文件中就类似摇奖活动进行介绍，并提供关键帧的截图，投标文件电子版中提供完整影像资料，并可通过主流播放器进行播放。</w:t>
            </w:r>
          </w:p>
        </w:tc>
        <w:tc>
          <w:tcPr>
            <w:tcW w:w="465" w:type="pct"/>
            <w:noWrap/>
            <w:vAlign w:val="center"/>
          </w:tcPr>
          <w:p w14:paraId="02F155D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套</w:t>
            </w:r>
          </w:p>
        </w:tc>
        <w:tc>
          <w:tcPr>
            <w:tcW w:w="507" w:type="pct"/>
            <w:noWrap/>
            <w:vAlign w:val="center"/>
          </w:tcPr>
          <w:p w14:paraId="7BEF4E9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w:t>
            </w:r>
          </w:p>
        </w:tc>
      </w:tr>
      <w:tr w14:paraId="4344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3" w:type="pct"/>
            <w:noWrap/>
            <w:vAlign w:val="center"/>
          </w:tcPr>
          <w:p w14:paraId="3308F7C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3</w:t>
            </w:r>
          </w:p>
        </w:tc>
        <w:tc>
          <w:tcPr>
            <w:tcW w:w="3564" w:type="pct"/>
            <w:vAlign w:val="center"/>
          </w:tcPr>
          <w:p w14:paraId="585A426D">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★22选5游戏摇奖机需求</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福建体彩22选5游戏是乐透型摇奖游戏，摇奖机需要从编号01-22的22个摇奖球中摇出5个摇奖球作为中奖号码。</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摇奖机最大装球数（球道容量和搅拌能力）应大于22个，最大出球数（展示球道容量）应大于5个，以适用于将来可能的新游戏或玩法调整。</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b/>
                <w:bCs/>
                <w:color w:val="auto"/>
                <w:kern w:val="0"/>
                <w:sz w:val="24"/>
                <w:szCs w:val="24"/>
                <w:highlight w:val="none"/>
                <w:lang w:val="en-US" w:eastAsia="zh-CN"/>
              </w:rPr>
              <w:t>3、</w:t>
            </w:r>
            <w:r>
              <w:rPr>
                <w:rFonts w:hint="eastAsia" w:asciiTheme="majorEastAsia" w:hAnsiTheme="majorEastAsia" w:eastAsiaTheme="majorEastAsia" w:cstheme="majorEastAsia"/>
                <w:b/>
                <w:bCs/>
                <w:color w:val="auto"/>
                <w:kern w:val="0"/>
                <w:sz w:val="24"/>
                <w:szCs w:val="24"/>
                <w:highlight w:val="none"/>
              </w:rPr>
              <w:t>摇奖机应采用吹气式搅拌方式，投标人需提供在与本项目拟投产品应用场景类似，且面向全国的类似摇奖活动中使用的影像资料，投标文件中就类似摇奖活动进行介绍，并提供关键帧的截图，投标文件电子版中提供完整影像资料，并可通过主流播放器进行播放。</w:t>
            </w:r>
          </w:p>
        </w:tc>
        <w:tc>
          <w:tcPr>
            <w:tcW w:w="465" w:type="pct"/>
            <w:noWrap/>
            <w:vAlign w:val="center"/>
          </w:tcPr>
          <w:p w14:paraId="0944D52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套</w:t>
            </w:r>
          </w:p>
        </w:tc>
        <w:tc>
          <w:tcPr>
            <w:tcW w:w="507" w:type="pct"/>
            <w:noWrap/>
            <w:vAlign w:val="center"/>
          </w:tcPr>
          <w:p w14:paraId="77EF2CD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w:t>
            </w:r>
          </w:p>
        </w:tc>
      </w:tr>
      <w:tr w14:paraId="2738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3" w:type="pct"/>
            <w:noWrap/>
            <w:vAlign w:val="center"/>
          </w:tcPr>
          <w:p w14:paraId="6128F9A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4</w:t>
            </w:r>
          </w:p>
        </w:tc>
        <w:tc>
          <w:tcPr>
            <w:tcW w:w="3564" w:type="pct"/>
          </w:tcPr>
          <w:p w14:paraId="614391D2">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★灾备摇奖机需求</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灾备摇奖机需采用与正式摇奖机一致的型号，保障设备性能一致性和兼容性。</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需同时支持36选7、31选7、22选5三种乐透型游戏摇奖需求，通过控制软件导入既定游戏程序，可快速根据不同玩法更换出球设置，仅需更换对应游戏摇奖球即可完成切换，切换时间不超过5分钟。</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3、</w:t>
            </w:r>
            <w:r>
              <w:rPr>
                <w:rFonts w:hint="eastAsia" w:asciiTheme="majorEastAsia" w:hAnsiTheme="majorEastAsia" w:eastAsiaTheme="majorEastAsia" w:cstheme="majorEastAsia"/>
                <w:color w:val="auto"/>
                <w:kern w:val="0"/>
                <w:sz w:val="24"/>
                <w:szCs w:val="24"/>
              </w:rPr>
              <w:t>设备硬件接口、软件系统需与现有正式摇奖机系统完全兼容，可实现摇奖程序、操作数据、维护记录的互联互通，保障整体摇奖系统的统一性和稳定性。</w:t>
            </w:r>
          </w:p>
        </w:tc>
        <w:tc>
          <w:tcPr>
            <w:tcW w:w="465" w:type="pct"/>
            <w:noWrap/>
            <w:vAlign w:val="center"/>
          </w:tcPr>
          <w:p w14:paraId="48E9E7F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套</w:t>
            </w:r>
          </w:p>
        </w:tc>
        <w:tc>
          <w:tcPr>
            <w:tcW w:w="507" w:type="pct"/>
            <w:noWrap/>
            <w:vAlign w:val="center"/>
          </w:tcPr>
          <w:p w14:paraId="19E245E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w:t>
            </w:r>
          </w:p>
        </w:tc>
      </w:tr>
      <w:tr w14:paraId="6C8D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3" w:type="pct"/>
            <w:noWrap/>
            <w:vAlign w:val="center"/>
          </w:tcPr>
          <w:p w14:paraId="02323CF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5</w:t>
            </w:r>
          </w:p>
        </w:tc>
        <w:tc>
          <w:tcPr>
            <w:tcW w:w="3564" w:type="pct"/>
          </w:tcPr>
          <w:p w14:paraId="2C751453">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★摇奖球需求</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1、福建体彩36选7游戏每套摇奖球为36个，需要5套摇奖球，共计180个，其中3套为主、备、灾备正式摇奖球，使用白色基球，白色贴片，黑色印刷数字，每套球数字编号为01至36；2套试机球，主场地和灾备场地各一套，使用白色基球，白色贴片，无数字印刷。</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福建体彩31选7游戏每套摇奖球为31个，需要5套摇奖球，共计155个，其中3套为主、备、灾备正式摇奖球，使用橙色基球，白色贴片，黑色印刷数字，每套球数字编号为01至31；2套试机球，主场地和灾备场地各一套，使用橙色基球，白色贴片，无数字印刷。</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3、福建体彩22选5游戏每套摇奖球为22个，需要5套摇奖球，共计110个，其中3套为主、备、灾备正式摇奖球，使用红色基球，白色贴片，黑色印刷数字，每套球数字编号为01至22；2套试机球，主场地和灾备场地各一套，使用红色基球，白色贴片，无数字印刷。</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4、需提供适配于所提供摇奖机的专用摇奖球、试机球。</w:t>
            </w:r>
          </w:p>
        </w:tc>
        <w:tc>
          <w:tcPr>
            <w:tcW w:w="465" w:type="pct"/>
            <w:noWrap/>
            <w:vAlign w:val="center"/>
          </w:tcPr>
          <w:p w14:paraId="7380790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个</w:t>
            </w:r>
          </w:p>
        </w:tc>
        <w:tc>
          <w:tcPr>
            <w:tcW w:w="507" w:type="pct"/>
            <w:noWrap/>
            <w:vAlign w:val="center"/>
          </w:tcPr>
          <w:p w14:paraId="49A3CD2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445</w:t>
            </w:r>
          </w:p>
        </w:tc>
      </w:tr>
    </w:tbl>
    <w:p w14:paraId="07BA3BC7">
      <w:pPr>
        <w:spacing w:line="500" w:lineRule="exact"/>
        <w:ind w:firstLine="480" w:firstLineChars="200"/>
        <w:jc w:val="both"/>
        <w:rPr>
          <w:rFonts w:hint="eastAsia" w:asciiTheme="majorEastAsia" w:hAnsiTheme="majorEastAsia" w:eastAsiaTheme="majorEastAsia" w:cstheme="majorEastAsia"/>
          <w:color w:val="auto"/>
          <w:kern w:val="0"/>
          <w:sz w:val="24"/>
          <w:szCs w:val="24"/>
        </w:rPr>
      </w:pPr>
      <w:bookmarkStart w:id="2" w:name="OLE_LINK4"/>
      <w:r>
        <w:rPr>
          <w:rFonts w:hint="eastAsia" w:asciiTheme="majorEastAsia" w:hAnsiTheme="majorEastAsia" w:eastAsiaTheme="majorEastAsia" w:cstheme="majorEastAsia"/>
          <w:color w:val="auto"/>
          <w:kern w:val="0"/>
          <w:sz w:val="24"/>
          <w:szCs w:val="24"/>
          <w:lang w:val="en-US" w:eastAsia="zh-CN"/>
        </w:rPr>
        <w:t>4.</w:t>
      </w:r>
      <w:r>
        <w:rPr>
          <w:rFonts w:hint="eastAsia" w:asciiTheme="majorEastAsia" w:hAnsiTheme="majorEastAsia" w:eastAsiaTheme="majorEastAsia" w:cstheme="majorEastAsia"/>
          <w:color w:val="auto"/>
          <w:kern w:val="0"/>
          <w:sz w:val="24"/>
          <w:szCs w:val="24"/>
        </w:rPr>
        <w:t>采购货物清单及技术参数表</w:t>
      </w:r>
    </w:p>
    <w:bookmarkEnd w:id="2"/>
    <w:tbl>
      <w:tblPr>
        <w:tblStyle w:val="11"/>
        <w:tblW w:w="49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222"/>
        <w:gridCol w:w="6994"/>
      </w:tblGrid>
      <w:tr w14:paraId="46F8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22" w:type="pct"/>
            <w:vAlign w:val="center"/>
          </w:tcPr>
          <w:p w14:paraId="1AE7B23D">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b w:val="0"/>
                <w:bCs w:val="0"/>
                <w:color w:val="auto"/>
                <w:kern w:val="0"/>
                <w:sz w:val="24"/>
                <w:szCs w:val="24"/>
              </w:rPr>
            </w:pPr>
            <w:r>
              <w:rPr>
                <w:rFonts w:hint="eastAsia" w:asciiTheme="majorEastAsia" w:hAnsiTheme="majorEastAsia" w:eastAsiaTheme="majorEastAsia" w:cstheme="majorEastAsia"/>
                <w:b w:val="0"/>
                <w:bCs w:val="0"/>
                <w:color w:val="auto"/>
                <w:kern w:val="0"/>
                <w:sz w:val="24"/>
                <w:szCs w:val="24"/>
              </w:rPr>
              <w:t>序号</w:t>
            </w:r>
          </w:p>
        </w:tc>
        <w:tc>
          <w:tcPr>
            <w:tcW w:w="681" w:type="pct"/>
            <w:vAlign w:val="center"/>
          </w:tcPr>
          <w:p w14:paraId="4712E1E1">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b w:val="0"/>
                <w:bCs w:val="0"/>
                <w:color w:val="auto"/>
                <w:kern w:val="0"/>
                <w:sz w:val="24"/>
                <w:szCs w:val="24"/>
              </w:rPr>
            </w:pPr>
            <w:r>
              <w:rPr>
                <w:rFonts w:hint="eastAsia" w:asciiTheme="majorEastAsia" w:hAnsiTheme="majorEastAsia" w:eastAsiaTheme="majorEastAsia" w:cstheme="majorEastAsia"/>
                <w:b w:val="0"/>
                <w:bCs w:val="0"/>
                <w:color w:val="auto"/>
                <w:kern w:val="0"/>
                <w:sz w:val="24"/>
                <w:szCs w:val="24"/>
              </w:rPr>
              <w:t>名称</w:t>
            </w:r>
          </w:p>
        </w:tc>
        <w:tc>
          <w:tcPr>
            <w:tcW w:w="3895" w:type="pct"/>
            <w:vAlign w:val="center"/>
          </w:tcPr>
          <w:p w14:paraId="690DD80A">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b w:val="0"/>
                <w:bCs w:val="0"/>
                <w:color w:val="auto"/>
                <w:kern w:val="0"/>
                <w:sz w:val="24"/>
                <w:szCs w:val="24"/>
              </w:rPr>
            </w:pPr>
            <w:r>
              <w:rPr>
                <w:rFonts w:hint="eastAsia" w:asciiTheme="majorEastAsia" w:hAnsiTheme="majorEastAsia" w:eastAsiaTheme="majorEastAsia" w:cstheme="majorEastAsia"/>
                <w:b w:val="0"/>
                <w:bCs w:val="0"/>
                <w:color w:val="auto"/>
                <w:kern w:val="0"/>
                <w:sz w:val="24"/>
                <w:szCs w:val="24"/>
                <w:lang w:val="en-US" w:eastAsia="zh-CN"/>
              </w:rPr>
              <w:t>主要</w:t>
            </w:r>
            <w:r>
              <w:rPr>
                <w:rFonts w:hint="eastAsia" w:asciiTheme="majorEastAsia" w:hAnsiTheme="majorEastAsia" w:eastAsiaTheme="majorEastAsia" w:cstheme="majorEastAsia"/>
                <w:b w:val="0"/>
                <w:bCs w:val="0"/>
                <w:color w:val="auto"/>
                <w:kern w:val="0"/>
                <w:sz w:val="24"/>
                <w:szCs w:val="24"/>
              </w:rPr>
              <w:t>技术参数</w:t>
            </w:r>
          </w:p>
        </w:tc>
      </w:tr>
      <w:tr w14:paraId="77E4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000" w:type="pct"/>
            <w:gridSpan w:val="3"/>
            <w:vAlign w:val="center"/>
          </w:tcPr>
          <w:p w14:paraId="7786841D">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rPr>
              <w:t>一、摇奖机</w:t>
            </w:r>
          </w:p>
        </w:tc>
      </w:tr>
      <w:tr w14:paraId="5BE3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44A07AA9">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w:t>
            </w:r>
          </w:p>
        </w:tc>
        <w:tc>
          <w:tcPr>
            <w:tcW w:w="681" w:type="pct"/>
            <w:vAlign w:val="center"/>
          </w:tcPr>
          <w:p w14:paraId="59C193E0">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摇奖设备电力需求</w:t>
            </w:r>
          </w:p>
        </w:tc>
        <w:tc>
          <w:tcPr>
            <w:tcW w:w="3895" w:type="pct"/>
          </w:tcPr>
          <w:p w14:paraId="3D4A145A">
            <w:pPr>
              <w:numPr>
                <w:ilvl w:val="0"/>
                <w:numId w:val="0"/>
              </w:numPr>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bidi="ar-SA"/>
              </w:rPr>
              <w:t>1、</w:t>
            </w:r>
            <w:r>
              <w:rPr>
                <w:rFonts w:hint="eastAsia" w:asciiTheme="majorEastAsia" w:hAnsiTheme="majorEastAsia" w:eastAsiaTheme="majorEastAsia" w:cstheme="majorEastAsia"/>
                <w:color w:val="auto"/>
                <w:kern w:val="0"/>
                <w:sz w:val="24"/>
                <w:szCs w:val="24"/>
              </w:rPr>
              <w:t>使用符合中国民用电力标准的220伏特，50赫兹的交流电</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w:t>
            </w:r>
            <w:r>
              <w:rPr>
                <w:rFonts w:hint="eastAsia" w:asciiTheme="majorEastAsia" w:hAnsiTheme="majorEastAsia" w:eastAsiaTheme="majorEastAsia" w:cstheme="majorEastAsia"/>
                <w:color w:val="auto"/>
                <w:sz w:val="24"/>
                <w:szCs w:val="24"/>
                <w:lang w:eastAsia="zh-CN"/>
                <w14:ligatures w14:val="standardContextual"/>
              </w:rPr>
              <w:t>）</w:t>
            </w:r>
          </w:p>
          <w:p w14:paraId="61C95807">
            <w:pPr>
              <w:numPr>
                <w:ilvl w:val="0"/>
                <w:numId w:val="0"/>
              </w:numPr>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lang w:val="en-US" w:eastAsia="zh-CN" w:bidi="ar-SA"/>
              </w:rPr>
              <w:t>2、</w:t>
            </w:r>
            <w:r>
              <w:rPr>
                <w:rFonts w:hint="eastAsia" w:asciiTheme="majorEastAsia" w:hAnsiTheme="majorEastAsia" w:eastAsiaTheme="majorEastAsia" w:cstheme="majorEastAsia"/>
                <w:color w:val="auto"/>
                <w:kern w:val="0"/>
                <w:sz w:val="24"/>
                <w:szCs w:val="24"/>
              </w:rPr>
              <w:t>每台摇奖机的额定电流小于20安培。</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3、</w:t>
            </w:r>
            <w:r>
              <w:rPr>
                <w:rFonts w:hint="eastAsia" w:asciiTheme="majorEastAsia" w:hAnsiTheme="majorEastAsia" w:eastAsiaTheme="majorEastAsia" w:cstheme="majorEastAsia"/>
                <w:color w:val="auto"/>
                <w:kern w:val="0"/>
                <w:sz w:val="24"/>
                <w:szCs w:val="24"/>
              </w:rPr>
              <w:t>配备的原装电源线长度不小于20米。</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lang w:val="en-US" w:eastAsia="zh-CN"/>
              </w:rPr>
              <w:t>4、</w:t>
            </w:r>
            <w:r>
              <w:rPr>
                <w:rFonts w:hint="eastAsia" w:asciiTheme="majorEastAsia" w:hAnsiTheme="majorEastAsia" w:eastAsiaTheme="majorEastAsia" w:cstheme="majorEastAsia"/>
                <w:color w:val="auto"/>
                <w:kern w:val="0"/>
                <w:sz w:val="24"/>
                <w:szCs w:val="24"/>
              </w:rPr>
              <w:t>具有可复位的过载保护装置。</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w:t>
            </w:r>
            <w:r>
              <w:rPr>
                <w:rFonts w:hint="eastAsia" w:asciiTheme="majorEastAsia" w:hAnsiTheme="majorEastAsia" w:eastAsiaTheme="majorEastAsia" w:cstheme="majorEastAsia"/>
                <w:color w:val="auto"/>
                <w:sz w:val="24"/>
                <w:szCs w:val="24"/>
                <w:lang w:eastAsia="zh-CN"/>
                <w14:ligatures w14:val="standardContextual"/>
              </w:rPr>
              <w:t>）</w:t>
            </w:r>
          </w:p>
        </w:tc>
      </w:tr>
      <w:tr w14:paraId="02F4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noWrap/>
            <w:vAlign w:val="center"/>
          </w:tcPr>
          <w:p w14:paraId="7D760C0E">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w:t>
            </w:r>
          </w:p>
        </w:tc>
        <w:tc>
          <w:tcPr>
            <w:tcW w:w="681" w:type="pct"/>
            <w:vAlign w:val="center"/>
          </w:tcPr>
          <w:p w14:paraId="59C4CA65">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摇奖设备控制方式需求</w:t>
            </w:r>
          </w:p>
        </w:tc>
        <w:tc>
          <w:tcPr>
            <w:tcW w:w="3895" w:type="pct"/>
            <w:vAlign w:val="center"/>
          </w:tcPr>
          <w:p w14:paraId="0D8DB0BC">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1、可通过遥控按钮和电脑程序进行控制。</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评审项7</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2、可以全自动执行所有摇奖动作。</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评审项8</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3、每次开奖过程需要按两次按钮，第一次按按钮摇奖球落入搅拌仓，第二次按按钮启动摇奖程序。</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评审项9</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4、摇奖过程可暂停，并支持断点恢复。</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评审项10</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5、可以手动执行包括落球、搅拌、单个出球等在内的每个摇奖环节。</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评审项11</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6、可以手动控制摇奖机的每个运动机构。</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评审项12</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7、摇奖的每个环节信息和摇奖机的每个动作状态信息远程可视化。</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评审项13</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8、远程控制线缆长度不小于50米。</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评审项14</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9、同时支持启动按钮启动和远程电脑启动。</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评审项15</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10、启动按钮的线缆长度不小于20米。</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评审项16</w:t>
            </w:r>
            <w:r>
              <w:rPr>
                <w:rFonts w:hint="eastAsia" w:asciiTheme="majorEastAsia" w:hAnsiTheme="majorEastAsia" w:eastAsiaTheme="majorEastAsia" w:cstheme="majorEastAsia"/>
                <w:color w:val="auto"/>
                <w:sz w:val="24"/>
                <w:szCs w:val="24"/>
                <w:lang w:eastAsia="zh-CN"/>
                <w14:ligatures w14:val="standardContextual"/>
              </w:rPr>
              <w:t>）</w:t>
            </w:r>
          </w:p>
        </w:tc>
      </w:tr>
      <w:tr w14:paraId="58B7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640A67CB">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3</w:t>
            </w:r>
          </w:p>
        </w:tc>
        <w:tc>
          <w:tcPr>
            <w:tcW w:w="681" w:type="pct"/>
            <w:vAlign w:val="center"/>
          </w:tcPr>
          <w:p w14:paraId="31E6FB1B">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摇奖设备可靠性需求</w:t>
            </w:r>
          </w:p>
        </w:tc>
        <w:tc>
          <w:tcPr>
            <w:tcW w:w="3895" w:type="pct"/>
            <w:vAlign w:val="center"/>
          </w:tcPr>
          <w:p w14:paraId="0A433110">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1、所有电源线缆和通信线缆的接口可以锁扣并支持快开快锁。</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评审项17</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2、摇奖机具有可旋转、可锁死脚轮并可快开快锁，便于搬运且稳定性良好，需提供证明材料。</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评审项18</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3、配备监测关键物理参数的传感器，在开机后自动自检，声光警示参数异常的部件，防范可能的安全风险。</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评审项19</w:t>
            </w:r>
            <w:r>
              <w:rPr>
                <w:rFonts w:hint="eastAsia" w:asciiTheme="majorEastAsia" w:hAnsiTheme="majorEastAsia" w:eastAsiaTheme="majorEastAsia" w:cstheme="majorEastAsia"/>
                <w:color w:val="auto"/>
                <w:sz w:val="24"/>
                <w:szCs w:val="24"/>
                <w:lang w:eastAsia="zh-CN"/>
                <w14:ligatures w14:val="standardContextual"/>
              </w:rPr>
              <w:t>）</w:t>
            </w:r>
          </w:p>
        </w:tc>
      </w:tr>
      <w:tr w14:paraId="7009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464C5917">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4</w:t>
            </w:r>
          </w:p>
        </w:tc>
        <w:tc>
          <w:tcPr>
            <w:tcW w:w="681" w:type="pct"/>
            <w:vAlign w:val="center"/>
          </w:tcPr>
          <w:p w14:paraId="68D9D51B">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节目需求</w:t>
            </w:r>
          </w:p>
        </w:tc>
        <w:tc>
          <w:tcPr>
            <w:tcW w:w="3895" w:type="pct"/>
            <w:vAlign w:val="center"/>
          </w:tcPr>
          <w:p w14:paraId="2D3FC420">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摇奖机应具备较好的节目录制效果，摇奖搅拌仓、装球道、展示球道需要完全透明，观众能够清晰看清摇奖球从落球、搅拌道出球的全过程，同时可清晰看清球道内的摇奖球，录制设备可以清晰直观的记录摇奖各环节的过程，需提供摇奖机各角度的影像资料。</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评审项20</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2、摇奖结束后在摇奖机适配工作环境下不出现因静电原因导致的摇奖球漂浮，球与球之间不能接触等现象。</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评审项21</w:t>
            </w:r>
            <w:r>
              <w:rPr>
                <w:rFonts w:hint="eastAsia" w:asciiTheme="majorEastAsia" w:hAnsiTheme="majorEastAsia" w:eastAsiaTheme="majorEastAsia" w:cstheme="majorEastAsia"/>
                <w:color w:val="auto"/>
                <w:sz w:val="24"/>
                <w:szCs w:val="24"/>
                <w:lang w:eastAsia="zh-CN"/>
                <w14:ligatures w14:val="standardContextual"/>
              </w:rPr>
              <w:t>）</w:t>
            </w:r>
          </w:p>
        </w:tc>
      </w:tr>
      <w:tr w14:paraId="7494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noWrap/>
            <w:vAlign w:val="center"/>
          </w:tcPr>
          <w:p w14:paraId="6408D6E6">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5</w:t>
            </w:r>
          </w:p>
        </w:tc>
        <w:tc>
          <w:tcPr>
            <w:tcW w:w="681" w:type="pct"/>
            <w:vAlign w:val="center"/>
          </w:tcPr>
          <w:p w14:paraId="779F360D">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摇奖设备功能设置需求</w:t>
            </w:r>
          </w:p>
        </w:tc>
        <w:tc>
          <w:tcPr>
            <w:tcW w:w="3895" w:type="pct"/>
            <w:vAlign w:val="center"/>
          </w:tcPr>
          <w:p w14:paraId="3BDF64C6">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要求提供的摇奖机使用外接电脑应用TCP/IP通信协议，通过以太网电缆（RJ45）连接到电脑，能在电脑软件上实时显示摇奖机运行状态及流程，包括但不限于摇奖机落球状态、捕球器开合状态、捕球感应开关识别状态以及吹风搅拌状态，要求提供证明材料。</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要求能根据使用需求的变化调整总球数、出球数、吹风搅拌风速、搅拌时间和出球时间，能由用户自己操作或厂家提供指导完成操作，各个球的出球时间差异不能超过2秒，投标人需提供在正式摇奖活动中的影像资料，投标文件中就类似摇奖活动进行介绍，并提供关键帧的截图，投标文件电子版中提供完整影像资料，并可通过主流播放器进行播放。</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评审项22</w:t>
            </w:r>
            <w:r>
              <w:rPr>
                <w:rFonts w:hint="eastAsia" w:asciiTheme="majorEastAsia" w:hAnsiTheme="majorEastAsia" w:eastAsiaTheme="majorEastAsia" w:cstheme="majorEastAsia"/>
                <w:color w:val="auto"/>
                <w:sz w:val="24"/>
                <w:szCs w:val="24"/>
                <w:lang w:eastAsia="zh-CN"/>
                <w14:ligatures w14:val="standardContextual"/>
              </w:rPr>
              <w:t>）</w:t>
            </w:r>
          </w:p>
        </w:tc>
      </w:tr>
      <w:tr w14:paraId="4BA9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1B28C966">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6</w:t>
            </w:r>
          </w:p>
        </w:tc>
        <w:tc>
          <w:tcPr>
            <w:tcW w:w="681" w:type="pct"/>
            <w:vAlign w:val="center"/>
          </w:tcPr>
          <w:p w14:paraId="3DD2E8ED">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摇奖设备运行保障需求</w:t>
            </w:r>
          </w:p>
        </w:tc>
        <w:tc>
          <w:tcPr>
            <w:tcW w:w="3895" w:type="pct"/>
            <w:vAlign w:val="center"/>
          </w:tcPr>
          <w:p w14:paraId="3A9DF836">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1、投标人或厂家提供专用的清洁工具，并对</w:t>
            </w:r>
            <w:r>
              <w:rPr>
                <w:rFonts w:hint="eastAsia" w:asciiTheme="majorEastAsia" w:hAnsiTheme="majorEastAsia" w:eastAsiaTheme="majorEastAsia" w:cstheme="majorEastAsia"/>
                <w:color w:val="auto"/>
                <w:kern w:val="0"/>
                <w:sz w:val="24"/>
                <w:szCs w:val="24"/>
                <w:lang w:eastAsia="zh-CN"/>
              </w:rPr>
              <w:t>采购人</w:t>
            </w:r>
            <w:r>
              <w:rPr>
                <w:rFonts w:hint="eastAsia" w:asciiTheme="majorEastAsia" w:hAnsiTheme="majorEastAsia" w:eastAsiaTheme="majorEastAsia" w:cstheme="majorEastAsia"/>
                <w:color w:val="auto"/>
                <w:kern w:val="0"/>
                <w:sz w:val="24"/>
                <w:szCs w:val="24"/>
              </w:rPr>
              <w:t>的摇奖机操作人员进行培训，使其能正确的进行摇奖机的日常清洁。</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评审项23</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2、投标人或厂家应为</w:t>
            </w:r>
            <w:r>
              <w:rPr>
                <w:rFonts w:hint="eastAsia" w:asciiTheme="majorEastAsia" w:hAnsiTheme="majorEastAsia" w:eastAsiaTheme="majorEastAsia" w:cstheme="majorEastAsia"/>
                <w:color w:val="auto"/>
                <w:kern w:val="0"/>
                <w:sz w:val="24"/>
                <w:szCs w:val="24"/>
                <w:lang w:eastAsia="zh-CN"/>
              </w:rPr>
              <w:t>采购人</w:t>
            </w:r>
            <w:r>
              <w:rPr>
                <w:rFonts w:hint="eastAsia" w:asciiTheme="majorEastAsia" w:hAnsiTheme="majorEastAsia" w:eastAsiaTheme="majorEastAsia" w:cstheme="majorEastAsia"/>
                <w:color w:val="auto"/>
                <w:kern w:val="0"/>
                <w:sz w:val="24"/>
                <w:szCs w:val="24"/>
              </w:rPr>
              <w:t>将摇奖机的上的铭牌、仪器仪表的刻度以及说明书等所使用的英制单位转换为公制单位。</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评审项24</w:t>
            </w:r>
            <w:r>
              <w:rPr>
                <w:rFonts w:hint="eastAsia" w:asciiTheme="majorEastAsia" w:hAnsiTheme="majorEastAsia" w:eastAsiaTheme="majorEastAsia" w:cstheme="majorEastAsia"/>
                <w:color w:val="auto"/>
                <w:sz w:val="24"/>
                <w:szCs w:val="24"/>
                <w:lang w:eastAsia="zh-CN"/>
                <w14:ligatures w14:val="standardContextual"/>
              </w:rPr>
              <w:t>）</w:t>
            </w:r>
          </w:p>
        </w:tc>
      </w:tr>
      <w:tr w14:paraId="0DED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000" w:type="pct"/>
            <w:gridSpan w:val="3"/>
            <w:vAlign w:val="center"/>
          </w:tcPr>
          <w:p w14:paraId="0F045771">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rPr>
              <w:t>二、摇奖球</w:t>
            </w:r>
          </w:p>
        </w:tc>
      </w:tr>
      <w:tr w14:paraId="5514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6133E98E">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w:t>
            </w:r>
          </w:p>
        </w:tc>
        <w:tc>
          <w:tcPr>
            <w:tcW w:w="681" w:type="pct"/>
            <w:vAlign w:val="center"/>
          </w:tcPr>
          <w:p w14:paraId="719393F7">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摇奖球需求</w:t>
            </w:r>
          </w:p>
        </w:tc>
        <w:tc>
          <w:tcPr>
            <w:tcW w:w="3895" w:type="pct"/>
            <w:vAlign w:val="center"/>
          </w:tcPr>
          <w:p w14:paraId="6C5B270A">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1、参数及指标</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评审项25</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（1）标准尺寸：45mm直径</w:t>
            </w:r>
            <w:r>
              <w:rPr>
                <w:rFonts w:hint="eastAsia" w:asciiTheme="majorEastAsia" w:hAnsiTheme="majorEastAsia" w:eastAsiaTheme="majorEastAsia" w:cstheme="majorEastAsia"/>
                <w:color w:val="auto"/>
                <w:kern w:val="0"/>
                <w:sz w:val="24"/>
                <w:szCs w:val="24"/>
                <w:lang w:eastAsia="zh-CN"/>
              </w:rPr>
              <w:t>，</w:t>
            </w:r>
            <w:r>
              <w:rPr>
                <w:rFonts w:ascii="宋体" w:hAnsi="宋体" w:eastAsia="宋体" w:cs="宋体"/>
                <w:color w:val="auto"/>
                <w:sz w:val="24"/>
                <w:szCs w:val="24"/>
              </w:rPr>
              <w:t>实际直径不小于42.75mm，不大于 47.25mm</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（2）标准重量：约4.00g</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（3）材质：泡沫材料</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2、一致性标准：</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评审项26</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（1）每组号码球的尺寸偏差应小于或等于5%，即这组球中任一球的直径与这组球平均直径的差应小于或等于这组球平均直径的5%。</w:t>
            </w:r>
            <w:r>
              <w:rPr>
                <w:rFonts w:hint="eastAsia" w:asciiTheme="majorEastAsia" w:hAnsiTheme="majorEastAsia" w:eastAsiaTheme="majorEastAsia" w:cstheme="majorEastAsia"/>
                <w:color w:val="auto"/>
                <w:kern w:val="0"/>
                <w:sz w:val="24"/>
                <w:szCs w:val="24"/>
              </w:rPr>
              <w:br w:type="textWrapping"/>
            </w:r>
            <w:r>
              <w:rPr>
                <w:rFonts w:hint="eastAsia" w:asciiTheme="majorEastAsia" w:hAnsiTheme="majorEastAsia" w:eastAsiaTheme="majorEastAsia" w:cstheme="majorEastAsia"/>
                <w:color w:val="auto"/>
                <w:kern w:val="0"/>
                <w:sz w:val="24"/>
                <w:szCs w:val="24"/>
              </w:rPr>
              <w:t>（2）每组号码球的重量偏差应小于或等于5%，即这组球中任一球的重量与这组球平均重量的差应小于或等于这组球平均重量的5%。</w:t>
            </w:r>
          </w:p>
        </w:tc>
      </w:tr>
      <w:tr w14:paraId="39A4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000" w:type="pct"/>
            <w:gridSpan w:val="3"/>
            <w:vAlign w:val="center"/>
          </w:tcPr>
          <w:p w14:paraId="650B3476">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rPr>
              <w:t>三、UPS机房基础设施建设</w:t>
            </w:r>
          </w:p>
        </w:tc>
      </w:tr>
      <w:tr w14:paraId="0072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6AC1C6D4">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w:t>
            </w:r>
          </w:p>
        </w:tc>
        <w:tc>
          <w:tcPr>
            <w:tcW w:w="681" w:type="pct"/>
            <w:vAlign w:val="center"/>
          </w:tcPr>
          <w:p w14:paraId="2E5D6281">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加固楼板承重</w:t>
            </w:r>
          </w:p>
        </w:tc>
        <w:tc>
          <w:tcPr>
            <w:tcW w:w="3895" w:type="pct"/>
            <w:vAlign w:val="center"/>
          </w:tcPr>
          <w:p w14:paraId="65FD9CB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1、核心需求：</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评审项27</w:t>
            </w:r>
            <w:r>
              <w:rPr>
                <w:rFonts w:hint="eastAsia" w:asciiTheme="majorEastAsia" w:hAnsiTheme="majorEastAsia" w:eastAsiaTheme="majorEastAsia" w:cstheme="majorEastAsia"/>
                <w:color w:val="auto"/>
                <w:sz w:val="24"/>
                <w:szCs w:val="24"/>
                <w:lang w:eastAsia="zh-CN"/>
                <w14:ligatures w14:val="standardContextual"/>
              </w:rPr>
              <w:t>）</w:t>
            </w:r>
          </w:p>
          <w:p w14:paraId="604F25F7">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针对机房内蓄电池及设备总重量，需通过工字钢加固楼面，确保楼板承重安全。</w:t>
            </w:r>
          </w:p>
          <w:p w14:paraId="2B5756C6">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2、工字钢参数：</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评审项28</w:t>
            </w:r>
            <w:r>
              <w:rPr>
                <w:rFonts w:hint="eastAsia" w:asciiTheme="majorEastAsia" w:hAnsiTheme="majorEastAsia" w:eastAsiaTheme="majorEastAsia" w:cstheme="majorEastAsia"/>
                <w:color w:val="auto"/>
                <w:sz w:val="24"/>
                <w:szCs w:val="24"/>
                <w:lang w:eastAsia="zh-CN"/>
                <w14:ligatures w14:val="standardContextual"/>
              </w:rPr>
              <w:t>）</w:t>
            </w:r>
          </w:p>
          <w:p w14:paraId="03936C20">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型号：200×100工字钢；数量：60米</w:t>
            </w:r>
            <w:r>
              <w:rPr>
                <w:rFonts w:hint="eastAsia" w:asciiTheme="majorEastAsia" w:hAnsiTheme="majorEastAsia" w:eastAsiaTheme="majorEastAsia" w:cstheme="majorEastAsia"/>
                <w:color w:val="auto"/>
                <w:kern w:val="0"/>
                <w:sz w:val="24"/>
                <w:szCs w:val="24"/>
                <w:lang w:eastAsia="zh-CN"/>
              </w:rPr>
              <w:t>。</w:t>
            </w:r>
          </w:p>
          <w:p w14:paraId="40491497">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定制要求：需根据机房现场结构尺寸定制，材质符合建筑结构用钢标准</w:t>
            </w:r>
            <w:r>
              <w:rPr>
                <w:rFonts w:hint="eastAsia" w:asciiTheme="majorEastAsia" w:hAnsiTheme="majorEastAsia" w:eastAsiaTheme="majorEastAsia" w:cstheme="majorEastAsia"/>
                <w:color w:val="auto"/>
                <w:kern w:val="0"/>
                <w:sz w:val="24"/>
                <w:szCs w:val="24"/>
                <w:lang w:eastAsia="zh-CN"/>
              </w:rPr>
              <w:t>。</w:t>
            </w:r>
          </w:p>
        </w:tc>
      </w:tr>
      <w:tr w14:paraId="65B8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74299307">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w:t>
            </w:r>
          </w:p>
        </w:tc>
        <w:tc>
          <w:tcPr>
            <w:tcW w:w="681" w:type="pct"/>
            <w:vAlign w:val="center"/>
          </w:tcPr>
          <w:p w14:paraId="7A52A57D">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UPS室防火门</w:t>
            </w:r>
          </w:p>
        </w:tc>
        <w:tc>
          <w:tcPr>
            <w:tcW w:w="3895" w:type="pct"/>
            <w:vAlign w:val="center"/>
          </w:tcPr>
          <w:p w14:paraId="14D5F0A7">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数量：</w:t>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个</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评审项29</w:t>
            </w:r>
            <w:r>
              <w:rPr>
                <w:rFonts w:hint="eastAsia" w:asciiTheme="majorEastAsia" w:hAnsiTheme="majorEastAsia" w:eastAsiaTheme="majorEastAsia" w:cstheme="majorEastAsia"/>
                <w:color w:val="auto"/>
                <w:sz w:val="24"/>
                <w:szCs w:val="24"/>
                <w:lang w:eastAsia="zh-CN"/>
                <w14:ligatures w14:val="standardContextual"/>
              </w:rPr>
              <w:t>）</w:t>
            </w:r>
          </w:p>
          <w:p w14:paraId="45E8AC13">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类型：定制子母门</w:t>
            </w:r>
            <w:r>
              <w:rPr>
                <w:rFonts w:hint="eastAsia" w:asciiTheme="majorEastAsia" w:hAnsiTheme="majorEastAsia" w:eastAsiaTheme="majorEastAsia" w:cstheme="majorEastAsia"/>
                <w:color w:val="auto"/>
                <w:kern w:val="0"/>
                <w:sz w:val="24"/>
                <w:szCs w:val="24"/>
                <w:lang w:eastAsia="zh-CN"/>
              </w:rPr>
              <w:t>。</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评审项30</w:t>
            </w:r>
            <w:r>
              <w:rPr>
                <w:rFonts w:hint="eastAsia" w:asciiTheme="majorEastAsia" w:hAnsiTheme="majorEastAsia" w:eastAsiaTheme="majorEastAsia" w:cstheme="majorEastAsia"/>
                <w:color w:val="auto"/>
                <w:sz w:val="24"/>
                <w:szCs w:val="24"/>
                <w:lang w:eastAsia="zh-CN"/>
                <w14:ligatures w14:val="standardContextual"/>
              </w:rPr>
              <w:t>）</w:t>
            </w:r>
          </w:p>
          <w:p w14:paraId="4B0D3D59">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lang w:val="en-US" w:eastAsia="zh-CN"/>
              </w:rPr>
              <w:t>3、</w:t>
            </w:r>
            <w:r>
              <w:rPr>
                <w:rFonts w:hint="eastAsia" w:asciiTheme="majorEastAsia" w:hAnsiTheme="majorEastAsia" w:eastAsiaTheme="majorEastAsia" w:cstheme="majorEastAsia"/>
                <w:color w:val="auto"/>
                <w:kern w:val="0"/>
                <w:sz w:val="24"/>
                <w:szCs w:val="24"/>
              </w:rPr>
              <w:t>技术参数：</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评审项31</w:t>
            </w:r>
            <w:r>
              <w:rPr>
                <w:rFonts w:hint="eastAsia" w:asciiTheme="majorEastAsia" w:hAnsiTheme="majorEastAsia" w:eastAsiaTheme="majorEastAsia" w:cstheme="majorEastAsia"/>
                <w:color w:val="auto"/>
                <w:sz w:val="24"/>
                <w:szCs w:val="24"/>
                <w:lang w:eastAsia="zh-CN"/>
                <w14:ligatures w14:val="standardContextual"/>
              </w:rPr>
              <w:t>）</w:t>
            </w:r>
          </w:p>
          <w:p w14:paraId="7BD965F2">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（1）耐火等级：甲级，耐火时长≥1.5小时</w:t>
            </w:r>
          </w:p>
          <w:p w14:paraId="23D3D81F">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val="en-US" w:eastAsia="zh-CN"/>
              </w:rPr>
            </w:pPr>
            <w:r>
              <w:rPr>
                <w:rFonts w:hint="eastAsia" w:asciiTheme="majorEastAsia" w:hAnsiTheme="majorEastAsia" w:eastAsiaTheme="majorEastAsia" w:cstheme="majorEastAsia"/>
                <w:color w:val="auto"/>
                <w:kern w:val="0"/>
                <w:sz w:val="24"/>
                <w:szCs w:val="24"/>
              </w:rPr>
              <w:t>（</w:t>
            </w: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）材质规格：门框钢板厚度≥1.2mm，门扇钢板厚度≥0.8mm，内部填充材料为岩棉</w:t>
            </w:r>
            <w:r>
              <w:rPr>
                <w:rFonts w:hint="eastAsia" w:asciiTheme="majorEastAsia" w:hAnsiTheme="majorEastAsia" w:eastAsiaTheme="majorEastAsia" w:cstheme="majorEastAsia"/>
                <w:color w:val="auto"/>
                <w:kern w:val="0"/>
                <w:sz w:val="24"/>
                <w:szCs w:val="24"/>
                <w:lang w:eastAsia="zh-CN"/>
              </w:rPr>
              <w:t>。</w:t>
            </w:r>
          </w:p>
          <w:p w14:paraId="60B4AB57">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val="en-US" w:eastAsia="zh-CN"/>
              </w:rPr>
            </w:pPr>
            <w:r>
              <w:rPr>
                <w:rFonts w:hint="eastAsia" w:asciiTheme="majorEastAsia" w:hAnsiTheme="majorEastAsia" w:eastAsiaTheme="majorEastAsia" w:cstheme="majorEastAsia"/>
                <w:color w:val="auto"/>
                <w:kern w:val="0"/>
                <w:sz w:val="24"/>
                <w:szCs w:val="24"/>
              </w:rPr>
              <w:t>（</w:t>
            </w:r>
            <w:r>
              <w:rPr>
                <w:rFonts w:hint="eastAsia" w:asciiTheme="majorEastAsia" w:hAnsiTheme="majorEastAsia" w:eastAsiaTheme="majorEastAsia" w:cstheme="majorEastAsia"/>
                <w:color w:val="auto"/>
                <w:kern w:val="0"/>
                <w:sz w:val="24"/>
                <w:szCs w:val="24"/>
                <w:lang w:val="en-US" w:eastAsia="zh-CN"/>
              </w:rPr>
              <w:t>3</w:t>
            </w:r>
            <w:r>
              <w:rPr>
                <w:rFonts w:hint="eastAsia" w:asciiTheme="majorEastAsia" w:hAnsiTheme="majorEastAsia" w:eastAsiaTheme="majorEastAsia" w:cstheme="majorEastAsia"/>
                <w:color w:val="auto"/>
                <w:kern w:val="0"/>
                <w:sz w:val="24"/>
                <w:szCs w:val="24"/>
              </w:rPr>
              <w:t>）安装要求：需符合消防规范，安装后需通过相关验收并提供消防标识、检测报告，确保密封、防火性能达标</w:t>
            </w:r>
            <w:r>
              <w:rPr>
                <w:rFonts w:hint="eastAsia" w:asciiTheme="majorEastAsia" w:hAnsiTheme="majorEastAsia" w:eastAsiaTheme="majorEastAsia" w:cstheme="majorEastAsia"/>
                <w:color w:val="auto"/>
                <w:kern w:val="0"/>
                <w:sz w:val="24"/>
                <w:szCs w:val="24"/>
                <w:lang w:eastAsia="zh-CN"/>
              </w:rPr>
              <w:t>。</w:t>
            </w:r>
          </w:p>
        </w:tc>
      </w:tr>
      <w:tr w14:paraId="19A2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5CFA5FB1">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3</w:t>
            </w:r>
          </w:p>
        </w:tc>
        <w:tc>
          <w:tcPr>
            <w:tcW w:w="681" w:type="pct"/>
            <w:vAlign w:val="center"/>
          </w:tcPr>
          <w:p w14:paraId="4C75297F">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防静电地板安装要求</w:t>
            </w:r>
          </w:p>
        </w:tc>
        <w:tc>
          <w:tcPr>
            <w:tcW w:w="3895" w:type="pct"/>
            <w:vAlign w:val="center"/>
          </w:tcPr>
          <w:p w14:paraId="5C19DF04">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bookmarkStart w:id="3" w:name="_Hlk217221247"/>
            <w:r>
              <w:rPr>
                <w:rFonts w:hint="eastAsia" w:asciiTheme="majorEastAsia" w:hAnsiTheme="majorEastAsia" w:eastAsiaTheme="majorEastAsia" w:cstheme="majorEastAsia"/>
                <w:b/>
                <w:bCs/>
                <w:color w:val="auto"/>
                <w:kern w:val="0"/>
                <w:sz w:val="24"/>
                <w:szCs w:val="24"/>
                <w:lang w:val="en-US" w:eastAsia="zh-CN"/>
              </w:rPr>
              <w:t>1、</w:t>
            </w:r>
            <w:r>
              <w:rPr>
                <w:rFonts w:hint="eastAsia" w:asciiTheme="majorEastAsia" w:hAnsiTheme="majorEastAsia" w:eastAsiaTheme="majorEastAsia" w:cstheme="majorEastAsia"/>
                <w:b/>
                <w:bCs/>
                <w:color w:val="auto"/>
                <w:kern w:val="0"/>
                <w:sz w:val="24"/>
                <w:szCs w:val="24"/>
              </w:rPr>
              <w:t>材质与规格：</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评审项32</w:t>
            </w:r>
            <w:r>
              <w:rPr>
                <w:rFonts w:hint="eastAsia" w:asciiTheme="majorEastAsia" w:hAnsiTheme="majorEastAsia" w:eastAsiaTheme="majorEastAsia" w:cstheme="majorEastAsia"/>
                <w:color w:val="auto"/>
                <w:sz w:val="24"/>
                <w:szCs w:val="24"/>
                <w:lang w:eastAsia="zh-CN"/>
                <w14:ligatures w14:val="standardContextual"/>
              </w:rPr>
              <w:t>）</w:t>
            </w:r>
          </w:p>
          <w:p w14:paraId="7A0D0FC1">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采用全钢防静电地板，厚度为35mm-45mm，表面为防静电贴面，系统电阻值需在1×10⁶Ω- 1×10⁹Ω之间，</w:t>
            </w:r>
            <w:r>
              <w:rPr>
                <w:rFonts w:hint="eastAsia" w:asciiTheme="majorEastAsia" w:hAnsiTheme="majorEastAsia" w:eastAsiaTheme="majorEastAsia" w:cstheme="majorEastAsia"/>
                <w:b/>
                <w:bCs/>
                <w:color w:val="auto"/>
                <w:kern w:val="0"/>
                <w:sz w:val="24"/>
                <w:szCs w:val="24"/>
              </w:rPr>
              <w:t xml:space="preserve">符合 </w:t>
            </w:r>
            <w:r>
              <w:rPr>
                <w:rFonts w:ascii="宋体" w:hAnsi="宋体" w:eastAsia="宋体" w:cs="宋体"/>
                <w:b/>
                <w:bCs/>
                <w:color w:val="auto"/>
                <w:sz w:val="24"/>
                <w:szCs w:val="24"/>
              </w:rPr>
              <w:t>GB/T 36340</w:t>
            </w:r>
            <w:r>
              <w:rPr>
                <w:rFonts w:hint="eastAsia" w:ascii="宋体" w:hAnsi="宋体" w:eastAsia="宋体" w:cs="宋体"/>
                <w:b/>
                <w:bCs/>
                <w:color w:val="auto"/>
                <w:sz w:val="24"/>
                <w:szCs w:val="24"/>
                <w:lang w:val="en-US" w:eastAsia="zh-CN"/>
              </w:rPr>
              <w:t>-</w:t>
            </w:r>
            <w:r>
              <w:rPr>
                <w:rFonts w:ascii="宋体" w:hAnsi="宋体" w:eastAsia="宋体" w:cs="宋体"/>
                <w:b/>
                <w:bCs/>
                <w:color w:val="auto"/>
                <w:sz w:val="24"/>
                <w:szCs w:val="24"/>
              </w:rPr>
              <w:t>2018《防静电活动地板通用规范》</w:t>
            </w:r>
            <w:r>
              <w:rPr>
                <w:rFonts w:hint="eastAsia" w:asciiTheme="majorEastAsia" w:hAnsiTheme="majorEastAsia" w:eastAsiaTheme="majorEastAsia" w:cstheme="majorEastAsia"/>
                <w:b/>
                <w:bCs/>
                <w:color w:val="auto"/>
                <w:kern w:val="0"/>
                <w:sz w:val="24"/>
                <w:szCs w:val="24"/>
              </w:rPr>
              <w:t>标准并提供检测报告</w:t>
            </w:r>
            <w:r>
              <w:rPr>
                <w:rFonts w:hint="eastAsia" w:asciiTheme="majorEastAsia" w:hAnsiTheme="majorEastAsia" w:eastAsiaTheme="majorEastAsia" w:cstheme="majorEastAsia"/>
                <w:color w:val="auto"/>
                <w:kern w:val="0"/>
                <w:sz w:val="24"/>
                <w:szCs w:val="24"/>
              </w:rPr>
              <w:t>。</w:t>
            </w:r>
            <w:bookmarkEnd w:id="3"/>
          </w:p>
          <w:p w14:paraId="71EBE50B">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bookmarkStart w:id="4" w:name="_Hlk217221259"/>
            <w:r>
              <w:rPr>
                <w:rFonts w:hint="eastAsia" w:asciiTheme="majorEastAsia" w:hAnsiTheme="majorEastAsia" w:eastAsiaTheme="majorEastAsia" w:cstheme="majorEastAsia"/>
                <w:color w:val="auto"/>
                <w:kern w:val="0"/>
                <w:sz w:val="24"/>
                <w:szCs w:val="24"/>
              </w:rPr>
              <w:t>承重能力：地板集中载荷不低于300kg，均布载荷不低于1000kg/m²，确保能承受 UPS、电池柜等设备的重量。</w:t>
            </w:r>
            <w:bookmarkEnd w:id="4"/>
          </w:p>
          <w:p w14:paraId="6EE61263">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bookmarkStart w:id="5" w:name="_Hlk217221273"/>
            <w:r>
              <w:rPr>
                <w:rFonts w:hint="eastAsia" w:asciiTheme="majorEastAsia" w:hAnsiTheme="majorEastAsia" w:eastAsiaTheme="majorEastAsia" w:cstheme="majorEastAsia"/>
                <w:b/>
                <w:bCs/>
                <w:color w:val="auto"/>
                <w:kern w:val="0"/>
                <w:sz w:val="24"/>
                <w:szCs w:val="24"/>
                <w:lang w:val="en-US" w:eastAsia="zh-CN"/>
              </w:rPr>
              <w:t>2、</w:t>
            </w:r>
            <w:r>
              <w:rPr>
                <w:rFonts w:hint="eastAsia" w:asciiTheme="majorEastAsia" w:hAnsiTheme="majorEastAsia" w:eastAsiaTheme="majorEastAsia" w:cstheme="majorEastAsia"/>
                <w:b/>
                <w:bCs/>
                <w:color w:val="auto"/>
                <w:kern w:val="0"/>
                <w:sz w:val="24"/>
                <w:szCs w:val="24"/>
              </w:rPr>
              <w:t>安装要求：</w:t>
            </w:r>
            <w:bookmarkEnd w:id="5"/>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评审项33</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b/>
                <w:bCs/>
                <w:color w:val="auto"/>
                <w:kern w:val="0"/>
                <w:sz w:val="24"/>
                <w:szCs w:val="24"/>
              </w:rPr>
              <w:t>​</w:t>
            </w:r>
          </w:p>
          <w:p w14:paraId="2F63D33B">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bookmarkStart w:id="6" w:name="_Hlk217221289"/>
            <w:bookmarkStart w:id="7" w:name="_Hlk217221279"/>
            <w:r>
              <w:rPr>
                <w:rFonts w:hint="eastAsia" w:asciiTheme="majorEastAsia" w:hAnsiTheme="majorEastAsia" w:eastAsiaTheme="majorEastAsia" w:cstheme="majorEastAsia"/>
                <w:color w:val="auto"/>
                <w:kern w:val="0"/>
                <w:sz w:val="24"/>
                <w:szCs w:val="24"/>
              </w:rPr>
              <w:t>（1）采用支架支撑，支架高度根据设备布线及散热需求设定，高度为150-300mm，确保地板下方留有足够空间用于线缆敷设和空气流通。</w:t>
            </w:r>
            <w:bookmarkEnd w:id="6"/>
            <w:r>
              <w:rPr>
                <w:rFonts w:hint="eastAsia" w:asciiTheme="majorEastAsia" w:hAnsiTheme="majorEastAsia" w:eastAsiaTheme="majorEastAsia" w:cstheme="majorEastAsia"/>
                <w:color w:val="auto"/>
                <w:kern w:val="0"/>
                <w:sz w:val="24"/>
                <w:szCs w:val="24"/>
              </w:rPr>
              <w:t>​</w:t>
            </w:r>
          </w:p>
          <w:bookmarkEnd w:id="7"/>
          <w:p w14:paraId="5AADC19D">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bookmarkStart w:id="8" w:name="_Hlk217221297"/>
            <w:r>
              <w:rPr>
                <w:rFonts w:hint="eastAsia" w:asciiTheme="majorEastAsia" w:hAnsiTheme="majorEastAsia" w:eastAsiaTheme="majorEastAsia" w:cstheme="majorEastAsia"/>
                <w:color w:val="auto"/>
                <w:kern w:val="0"/>
                <w:sz w:val="24"/>
                <w:szCs w:val="24"/>
              </w:rPr>
              <w:t>（2）地板之间连接紧密，缝隙不超过1mm，安装后整体平面度误差不大于3mm，且能自由拆卸，便于后期维护。</w:t>
            </w:r>
            <w:bookmarkEnd w:id="8"/>
            <w:r>
              <w:rPr>
                <w:rFonts w:hint="eastAsia" w:asciiTheme="majorEastAsia" w:hAnsiTheme="majorEastAsia" w:eastAsiaTheme="majorEastAsia" w:cstheme="majorEastAsia"/>
                <w:color w:val="auto"/>
                <w:kern w:val="0"/>
                <w:sz w:val="24"/>
                <w:szCs w:val="24"/>
              </w:rPr>
              <w:t>​</w:t>
            </w:r>
          </w:p>
          <w:p w14:paraId="2B674399">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bookmarkStart w:id="9" w:name="_Hlk217221305"/>
            <w:r>
              <w:rPr>
                <w:rFonts w:hint="eastAsia" w:asciiTheme="majorEastAsia" w:hAnsiTheme="majorEastAsia" w:eastAsiaTheme="majorEastAsia" w:cstheme="majorEastAsia"/>
                <w:color w:val="auto"/>
                <w:kern w:val="0"/>
                <w:sz w:val="24"/>
                <w:szCs w:val="24"/>
              </w:rPr>
              <w:t>（3）安装完成后需进行接地处理，通过铜带将防静电地板与机房接地系统连接，接地电阻不大于4Ω。</w:t>
            </w:r>
            <w:bookmarkEnd w:id="9"/>
          </w:p>
        </w:tc>
      </w:tr>
      <w:tr w14:paraId="253C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7DDC4015">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4</w:t>
            </w:r>
          </w:p>
        </w:tc>
        <w:tc>
          <w:tcPr>
            <w:tcW w:w="681" w:type="pct"/>
            <w:vAlign w:val="center"/>
          </w:tcPr>
          <w:p w14:paraId="7A115A0F">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烟感防火系统</w:t>
            </w:r>
          </w:p>
        </w:tc>
        <w:tc>
          <w:tcPr>
            <w:tcW w:w="3895" w:type="pct"/>
            <w:vAlign w:val="center"/>
          </w:tcPr>
          <w:p w14:paraId="0EBFF7C0">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lang w:val="en-US" w:eastAsia="zh-CN"/>
              </w:rPr>
              <w:t>1、</w:t>
            </w:r>
            <w:r>
              <w:rPr>
                <w:rFonts w:hint="eastAsia" w:asciiTheme="majorEastAsia" w:hAnsiTheme="majorEastAsia" w:eastAsiaTheme="majorEastAsia" w:cstheme="majorEastAsia"/>
                <w:b/>
                <w:bCs/>
                <w:color w:val="auto"/>
                <w:kern w:val="0"/>
                <w:sz w:val="24"/>
                <w:szCs w:val="24"/>
              </w:rPr>
              <w:t>烟雾探测器：</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评审项34</w:t>
            </w:r>
            <w:r>
              <w:rPr>
                <w:rFonts w:hint="eastAsia" w:asciiTheme="majorEastAsia" w:hAnsiTheme="majorEastAsia" w:eastAsiaTheme="majorEastAsia" w:cstheme="majorEastAsia"/>
                <w:color w:val="auto"/>
                <w:sz w:val="24"/>
                <w:szCs w:val="24"/>
                <w:lang w:eastAsia="zh-CN"/>
                <w14:ligatures w14:val="standardContextual"/>
              </w:rPr>
              <w:t>）</w:t>
            </w:r>
          </w:p>
          <w:p w14:paraId="3595C067">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（1）在机房顶部居中位置安装1台点型光电感烟火灾探测器，探测器需符合</w:t>
            </w:r>
            <w:r>
              <w:rPr>
                <w:rFonts w:ascii="宋体" w:hAnsi="宋体" w:eastAsia="宋体" w:cs="宋体"/>
                <w:color w:val="auto"/>
                <w:sz w:val="24"/>
                <w:szCs w:val="24"/>
              </w:rPr>
              <w:t>GB 4715</w:t>
            </w:r>
            <w:r>
              <w:rPr>
                <w:rFonts w:ascii="宋体" w:hAnsi="宋体" w:eastAsia="宋体" w:cs="宋体"/>
                <w:color w:val="auto"/>
                <w:sz w:val="24"/>
                <w:szCs w:val="24"/>
              </w:rPr>
              <w:noBreakHyphen/>
            </w:r>
            <w:r>
              <w:rPr>
                <w:rFonts w:ascii="宋体" w:hAnsi="宋体" w:eastAsia="宋体" w:cs="宋体"/>
                <w:color w:val="auto"/>
                <w:sz w:val="24"/>
                <w:szCs w:val="24"/>
              </w:rPr>
              <w:t>2024</w:t>
            </w:r>
            <w:r>
              <w:rPr>
                <w:rFonts w:hint="eastAsia" w:asciiTheme="majorEastAsia" w:hAnsiTheme="majorEastAsia" w:eastAsiaTheme="majorEastAsia" w:cstheme="majorEastAsia"/>
                <w:color w:val="auto"/>
                <w:kern w:val="0"/>
                <w:sz w:val="24"/>
                <w:szCs w:val="24"/>
              </w:rPr>
              <w:t>《点型感烟火灾探测器》标准，响应阈值不大于0.15dB/m，能在30秒内对烟雾做出响应。​</w:t>
            </w:r>
          </w:p>
          <w:p w14:paraId="78766C95">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（2）探测器需具备与消防报警控制器联动功能，支持有线信号传输（采用RVV4×1.0mm²线缆连接），当检测到烟雾时能及时发出声光报警信号。</w:t>
            </w:r>
          </w:p>
          <w:p w14:paraId="24E4BA82">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lang w:val="en-US" w:eastAsia="zh-CN"/>
              </w:rPr>
              <w:t>2、</w:t>
            </w:r>
            <w:r>
              <w:rPr>
                <w:rFonts w:hint="eastAsia" w:asciiTheme="majorEastAsia" w:hAnsiTheme="majorEastAsia" w:eastAsiaTheme="majorEastAsia" w:cstheme="majorEastAsia"/>
                <w:b/>
                <w:bCs/>
                <w:color w:val="auto"/>
                <w:kern w:val="0"/>
                <w:sz w:val="24"/>
                <w:szCs w:val="24"/>
              </w:rPr>
              <w:t>灭火装置：</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评审项35</w:t>
            </w:r>
            <w:r>
              <w:rPr>
                <w:rFonts w:hint="eastAsia" w:asciiTheme="majorEastAsia" w:hAnsiTheme="majorEastAsia" w:eastAsiaTheme="majorEastAsia" w:cstheme="majorEastAsia"/>
                <w:color w:val="auto"/>
                <w:sz w:val="24"/>
                <w:szCs w:val="24"/>
                <w:lang w:eastAsia="zh-CN"/>
                <w14:ligatures w14:val="standardContextual"/>
              </w:rPr>
              <w:t>）</w:t>
            </w:r>
          </w:p>
          <w:p w14:paraId="1F3EF4D4">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（1）配备</w:t>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套小型洁净气体灭火装置（如七氟丙烷灭火装置），灭火浓度符合相关规范，一套药剂储量需满足24平米机房全淹没灭火要求，一套药剂储量需满足12平米机房全淹没灭火要求</w:t>
            </w:r>
            <w:r>
              <w:rPr>
                <w:rFonts w:hint="eastAsia" w:asciiTheme="majorEastAsia" w:hAnsiTheme="majorEastAsia" w:eastAsiaTheme="majorEastAsia" w:cstheme="majorEastAsia"/>
                <w:color w:val="auto"/>
                <w:kern w:val="0"/>
                <w:sz w:val="24"/>
                <w:szCs w:val="24"/>
                <w:lang w:eastAsia="zh-CN"/>
              </w:rPr>
              <w:t>。</w:t>
            </w:r>
          </w:p>
          <w:p w14:paraId="67480CC7">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（2）灭火装置与烟感探测器联动，当探测器报警后，经延时（30秒内可调节）确认火情，自动启动灭火装置释放药剂，同时切断机房内非消防电源。​</w:t>
            </w:r>
          </w:p>
          <w:p w14:paraId="7F4F401D">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lang w:val="en-US" w:eastAsia="zh-CN"/>
              </w:rPr>
              <w:t>3、</w:t>
            </w:r>
            <w:r>
              <w:rPr>
                <w:rFonts w:hint="eastAsia" w:asciiTheme="majorEastAsia" w:hAnsiTheme="majorEastAsia" w:eastAsiaTheme="majorEastAsia" w:cstheme="majorEastAsia"/>
                <w:b/>
                <w:bCs/>
                <w:color w:val="auto"/>
                <w:kern w:val="0"/>
                <w:sz w:val="24"/>
                <w:szCs w:val="24"/>
              </w:rPr>
              <w:t>辅助设施：</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评审项36</w:t>
            </w:r>
            <w:r>
              <w:rPr>
                <w:rFonts w:hint="eastAsia" w:asciiTheme="majorEastAsia" w:hAnsiTheme="majorEastAsia" w:eastAsiaTheme="majorEastAsia" w:cstheme="majorEastAsia"/>
                <w:color w:val="auto"/>
                <w:sz w:val="24"/>
                <w:szCs w:val="24"/>
                <w:lang w:eastAsia="zh-CN"/>
                <w14:ligatures w14:val="standardContextual"/>
              </w:rPr>
              <w:t>）</w:t>
            </w:r>
          </w:p>
          <w:p w14:paraId="30EDBAE4">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（1）机房门口安装火灾声光警报器及紧急启停按钮，警报器声压级不小于85dB（距警报器1m处），紧急启停按钮需具备防误操作保护功能。​</w:t>
            </w:r>
          </w:p>
          <w:p w14:paraId="35822A5F">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color w:val="auto"/>
                <w:kern w:val="0"/>
                <w:sz w:val="24"/>
                <w:szCs w:val="24"/>
              </w:rPr>
              <w:t>（2）系统需接入机房所在建筑的消防报警系统，确保火灾信号能及时上传至消防控制室。</w:t>
            </w:r>
          </w:p>
        </w:tc>
      </w:tr>
      <w:tr w14:paraId="021D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74B6D18B">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5</w:t>
            </w:r>
          </w:p>
        </w:tc>
        <w:tc>
          <w:tcPr>
            <w:tcW w:w="681" w:type="pct"/>
            <w:vAlign w:val="center"/>
          </w:tcPr>
          <w:p w14:paraId="3885453E">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UPS机房空调系统</w:t>
            </w:r>
          </w:p>
        </w:tc>
        <w:tc>
          <w:tcPr>
            <w:tcW w:w="3895" w:type="pct"/>
            <w:vAlign w:val="center"/>
          </w:tcPr>
          <w:p w14:paraId="1A568D5F">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lang w:val="en-US" w:eastAsia="zh-CN"/>
              </w:rPr>
              <w:t>1、</w:t>
            </w:r>
            <w:r>
              <w:rPr>
                <w:rFonts w:hint="eastAsia" w:asciiTheme="majorEastAsia" w:hAnsiTheme="majorEastAsia" w:eastAsiaTheme="majorEastAsia" w:cstheme="majorEastAsia"/>
                <w:b/>
                <w:bCs/>
                <w:color w:val="auto"/>
                <w:kern w:val="0"/>
                <w:sz w:val="24"/>
                <w:szCs w:val="24"/>
              </w:rPr>
              <w:t>核心设备（天井机）</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评审项37</w:t>
            </w:r>
            <w:r>
              <w:rPr>
                <w:rFonts w:hint="eastAsia" w:asciiTheme="majorEastAsia" w:hAnsiTheme="majorEastAsia" w:eastAsiaTheme="majorEastAsia" w:cstheme="majorEastAsia"/>
                <w:color w:val="auto"/>
                <w:sz w:val="24"/>
                <w:szCs w:val="24"/>
                <w:lang w:eastAsia="zh-CN"/>
                <w14:ligatures w14:val="standardContextual"/>
              </w:rPr>
              <w:t>）</w:t>
            </w:r>
          </w:p>
          <w:p w14:paraId="532C3378">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数量：</w:t>
            </w: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台，不低于5P</w:t>
            </w:r>
            <w:r>
              <w:rPr>
                <w:rFonts w:hint="eastAsia" w:asciiTheme="majorEastAsia" w:hAnsiTheme="majorEastAsia" w:eastAsiaTheme="majorEastAsia" w:cstheme="majorEastAsia"/>
                <w:color w:val="auto"/>
                <w:kern w:val="0"/>
                <w:sz w:val="24"/>
                <w:szCs w:val="24"/>
                <w:lang w:eastAsia="zh-CN"/>
              </w:rPr>
              <w:t>。</w:t>
            </w:r>
          </w:p>
          <w:p w14:paraId="6779A6D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lang w:val="en-US" w:eastAsia="zh-CN"/>
              </w:rPr>
              <w:t>2、</w:t>
            </w:r>
            <w:r>
              <w:rPr>
                <w:rFonts w:hint="eastAsia" w:asciiTheme="majorEastAsia" w:hAnsiTheme="majorEastAsia" w:eastAsiaTheme="majorEastAsia" w:cstheme="majorEastAsia"/>
                <w:b/>
                <w:bCs/>
                <w:color w:val="auto"/>
                <w:kern w:val="0"/>
                <w:sz w:val="24"/>
                <w:szCs w:val="24"/>
              </w:rPr>
              <w:t>技术参数：</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评审项38</w:t>
            </w:r>
            <w:r>
              <w:rPr>
                <w:rFonts w:hint="eastAsia" w:asciiTheme="majorEastAsia" w:hAnsiTheme="majorEastAsia" w:eastAsiaTheme="majorEastAsia" w:cstheme="majorEastAsia"/>
                <w:color w:val="auto"/>
                <w:sz w:val="24"/>
                <w:szCs w:val="24"/>
                <w:lang w:eastAsia="zh-CN"/>
                <w14:ligatures w14:val="standardContextual"/>
              </w:rPr>
              <w:t>）</w:t>
            </w:r>
          </w:p>
          <w:p w14:paraId="5F3C4D33">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（1）运行控制：可设定0.5~24小时机组运行时间；断电后重启，须自动恢复断电前的运行设置</w:t>
            </w:r>
            <w:r>
              <w:rPr>
                <w:rFonts w:hint="eastAsia" w:asciiTheme="majorEastAsia" w:hAnsiTheme="majorEastAsia" w:eastAsiaTheme="majorEastAsia" w:cstheme="majorEastAsia"/>
                <w:color w:val="auto"/>
                <w:kern w:val="0"/>
                <w:sz w:val="24"/>
                <w:szCs w:val="24"/>
                <w:lang w:eastAsia="zh-CN"/>
              </w:rPr>
              <w:t>。</w:t>
            </w:r>
          </w:p>
          <w:p w14:paraId="43F4A7B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（2）能效等级：≤2级</w:t>
            </w:r>
            <w:r>
              <w:rPr>
                <w:rFonts w:hint="eastAsia" w:asciiTheme="majorEastAsia" w:hAnsiTheme="majorEastAsia" w:eastAsiaTheme="majorEastAsia" w:cstheme="majorEastAsia"/>
                <w:color w:val="auto"/>
                <w:kern w:val="0"/>
                <w:sz w:val="24"/>
                <w:szCs w:val="24"/>
                <w:lang w:eastAsia="zh-CN"/>
              </w:rPr>
              <w:t>。</w:t>
            </w:r>
          </w:p>
          <w:p w14:paraId="4E53B40C">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（3）制冷性能：额定制冷量≥7200W，制冷功率≥2150W</w:t>
            </w:r>
            <w:r>
              <w:rPr>
                <w:rFonts w:hint="eastAsia" w:asciiTheme="majorEastAsia" w:hAnsiTheme="majorEastAsia" w:eastAsiaTheme="majorEastAsia" w:cstheme="majorEastAsia"/>
                <w:color w:val="auto"/>
                <w:kern w:val="0"/>
                <w:sz w:val="24"/>
                <w:szCs w:val="24"/>
                <w:lang w:eastAsia="zh-CN"/>
              </w:rPr>
              <w:t>。</w:t>
            </w:r>
          </w:p>
          <w:p w14:paraId="2192DB20">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w:t>
            </w:r>
            <w:r>
              <w:rPr>
                <w:rFonts w:hint="eastAsia" w:asciiTheme="majorEastAsia" w:hAnsiTheme="majorEastAsia" w:eastAsiaTheme="majorEastAsia" w:cstheme="majorEastAsia"/>
                <w:color w:val="auto"/>
                <w:kern w:val="0"/>
                <w:sz w:val="24"/>
                <w:szCs w:val="24"/>
                <w:lang w:val="en-US" w:eastAsia="zh-CN"/>
              </w:rPr>
              <w:t>4</w:t>
            </w:r>
            <w:r>
              <w:rPr>
                <w:rFonts w:hint="eastAsia" w:asciiTheme="majorEastAsia" w:hAnsiTheme="majorEastAsia" w:eastAsiaTheme="majorEastAsia" w:cstheme="majorEastAsia"/>
                <w:color w:val="auto"/>
                <w:kern w:val="0"/>
                <w:sz w:val="24"/>
                <w:szCs w:val="24"/>
              </w:rPr>
              <w:t>）电源规格：3-380-50（PH-V-Hz）</w:t>
            </w:r>
            <w:r>
              <w:rPr>
                <w:rFonts w:hint="eastAsia" w:asciiTheme="majorEastAsia" w:hAnsiTheme="majorEastAsia" w:eastAsiaTheme="majorEastAsia" w:cstheme="majorEastAsia"/>
                <w:color w:val="auto"/>
                <w:kern w:val="0"/>
                <w:sz w:val="24"/>
                <w:szCs w:val="24"/>
                <w:lang w:eastAsia="zh-CN"/>
              </w:rPr>
              <w:t>。</w:t>
            </w:r>
          </w:p>
          <w:p w14:paraId="023DAF71">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（5）噪音控制：内机噪音≤44dB(A)，外机噪音≤44dB(A)</w:t>
            </w:r>
            <w:r>
              <w:rPr>
                <w:rFonts w:hint="eastAsia" w:asciiTheme="majorEastAsia" w:hAnsiTheme="majorEastAsia" w:eastAsiaTheme="majorEastAsia" w:cstheme="majorEastAsia"/>
                <w:color w:val="auto"/>
                <w:kern w:val="0"/>
                <w:sz w:val="24"/>
                <w:szCs w:val="24"/>
                <w:lang w:eastAsia="zh-CN"/>
              </w:rPr>
              <w:t>。</w:t>
            </w:r>
          </w:p>
          <w:p w14:paraId="1076FFF2">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（6）循环风量：≥1280m³/h</w:t>
            </w:r>
            <w:r>
              <w:rPr>
                <w:rFonts w:hint="eastAsia" w:asciiTheme="majorEastAsia" w:hAnsiTheme="majorEastAsia" w:eastAsiaTheme="majorEastAsia" w:cstheme="majorEastAsia"/>
                <w:color w:val="auto"/>
                <w:kern w:val="0"/>
                <w:sz w:val="24"/>
                <w:szCs w:val="24"/>
                <w:lang w:eastAsia="zh-CN"/>
              </w:rPr>
              <w:t>。</w:t>
            </w:r>
          </w:p>
          <w:p w14:paraId="4E3039C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（7）适用面积：≥35㎡</w:t>
            </w:r>
            <w:r>
              <w:rPr>
                <w:rFonts w:hint="eastAsia" w:asciiTheme="majorEastAsia" w:hAnsiTheme="majorEastAsia" w:eastAsiaTheme="majorEastAsia" w:cstheme="majorEastAsia"/>
                <w:color w:val="auto"/>
                <w:kern w:val="0"/>
                <w:sz w:val="24"/>
                <w:szCs w:val="24"/>
                <w:lang w:eastAsia="zh-CN"/>
              </w:rPr>
              <w:t>。</w:t>
            </w:r>
          </w:p>
          <w:p w14:paraId="229A2CAD">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（8）运行类型：变频</w:t>
            </w:r>
            <w:r>
              <w:rPr>
                <w:rFonts w:hint="eastAsia" w:asciiTheme="majorEastAsia" w:hAnsiTheme="majorEastAsia" w:eastAsiaTheme="majorEastAsia" w:cstheme="majorEastAsia"/>
                <w:color w:val="auto"/>
                <w:kern w:val="0"/>
                <w:sz w:val="24"/>
                <w:szCs w:val="24"/>
                <w:lang w:eastAsia="zh-CN"/>
              </w:rPr>
              <w:t>。</w:t>
            </w:r>
          </w:p>
          <w:p w14:paraId="5CBC1BB6">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kern w:val="0"/>
                <w:sz w:val="24"/>
                <w:szCs w:val="24"/>
              </w:rPr>
            </w:pPr>
            <w:r>
              <w:rPr>
                <w:rFonts w:hint="eastAsia" w:asciiTheme="majorEastAsia" w:hAnsiTheme="majorEastAsia" w:eastAsiaTheme="majorEastAsia" w:cstheme="majorEastAsia"/>
                <w:b/>
                <w:bCs/>
                <w:color w:val="auto"/>
                <w:kern w:val="0"/>
                <w:sz w:val="24"/>
                <w:szCs w:val="24"/>
                <w:lang w:val="en-US" w:eastAsia="zh-CN"/>
              </w:rPr>
              <w:t>3、</w:t>
            </w:r>
            <w:r>
              <w:rPr>
                <w:rFonts w:hint="eastAsia" w:asciiTheme="majorEastAsia" w:hAnsiTheme="majorEastAsia" w:eastAsiaTheme="majorEastAsia" w:cstheme="majorEastAsia"/>
                <w:b/>
                <w:bCs/>
                <w:color w:val="auto"/>
                <w:kern w:val="0"/>
                <w:sz w:val="24"/>
                <w:szCs w:val="24"/>
              </w:rPr>
              <w:t>配套要求：</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评审项39</w:t>
            </w:r>
            <w:r>
              <w:rPr>
                <w:rFonts w:hint="eastAsia" w:asciiTheme="majorEastAsia" w:hAnsiTheme="majorEastAsia" w:eastAsiaTheme="majorEastAsia" w:cstheme="majorEastAsia"/>
                <w:color w:val="auto"/>
                <w:sz w:val="24"/>
                <w:szCs w:val="24"/>
                <w:lang w:eastAsia="zh-CN"/>
                <w14:ligatures w14:val="standardContextual"/>
              </w:rPr>
              <w:t>）</w:t>
            </w:r>
          </w:p>
          <w:p w14:paraId="1AE47E0D">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lang w:eastAsia="zh-CN"/>
              </w:rPr>
            </w:pPr>
            <w:r>
              <w:rPr>
                <w:rFonts w:hint="eastAsia" w:asciiTheme="majorEastAsia" w:hAnsiTheme="majorEastAsia" w:eastAsiaTheme="majorEastAsia" w:cstheme="majorEastAsia"/>
                <w:color w:val="auto"/>
                <w:kern w:val="0"/>
                <w:sz w:val="24"/>
                <w:szCs w:val="24"/>
              </w:rPr>
              <w:t>（1）铜管及排水：需配套排水设施，外机安装位置为天台</w:t>
            </w:r>
            <w:r>
              <w:rPr>
                <w:rFonts w:hint="eastAsia" w:asciiTheme="majorEastAsia" w:hAnsiTheme="majorEastAsia" w:eastAsiaTheme="majorEastAsia" w:cstheme="majorEastAsia"/>
                <w:color w:val="auto"/>
                <w:kern w:val="0"/>
                <w:sz w:val="24"/>
                <w:szCs w:val="24"/>
                <w:lang w:eastAsia="zh-CN"/>
              </w:rPr>
              <w:t>。</w:t>
            </w:r>
          </w:p>
          <w:p w14:paraId="22F9F3BC">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kern w:val="0"/>
                <w:sz w:val="24"/>
                <w:szCs w:val="24"/>
              </w:rPr>
              <w:t>（2）安装服务：需包含设备安装、调试等人工服务，确保系统正常运行。</w:t>
            </w:r>
          </w:p>
        </w:tc>
      </w:tr>
      <w:tr w14:paraId="16C8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1BFA73A2">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6</w:t>
            </w:r>
          </w:p>
        </w:tc>
        <w:tc>
          <w:tcPr>
            <w:tcW w:w="681" w:type="pct"/>
            <w:vAlign w:val="center"/>
          </w:tcPr>
          <w:p w14:paraId="1912D784">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UPS机房监控系统</w:t>
            </w:r>
          </w:p>
        </w:tc>
        <w:tc>
          <w:tcPr>
            <w:tcW w:w="3895" w:type="pct"/>
            <w:vAlign w:val="center"/>
          </w:tcPr>
          <w:p w14:paraId="5B5D761A">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lang w:val="en-US" w:eastAsia="zh-CN"/>
              </w:rPr>
              <w:t>1、</w:t>
            </w:r>
            <w:r>
              <w:rPr>
                <w:rFonts w:hint="eastAsia" w:asciiTheme="majorEastAsia" w:hAnsiTheme="majorEastAsia" w:eastAsiaTheme="majorEastAsia" w:cstheme="majorEastAsia"/>
                <w:color w:val="auto"/>
                <w:kern w:val="0"/>
                <w:sz w:val="24"/>
                <w:szCs w:val="24"/>
              </w:rPr>
              <w:t>两个UPS机房一共安装6路400W监控摄像头，实现机房监控视频全覆盖，视频汇聚后通过光纤传输至大楼1层消监控室，监控视频接入原有安防监控系统。</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评审项40</w:t>
            </w:r>
            <w:r>
              <w:rPr>
                <w:rFonts w:hint="eastAsia" w:asciiTheme="majorEastAsia" w:hAnsiTheme="majorEastAsia" w:eastAsiaTheme="majorEastAsia" w:cstheme="majorEastAsia"/>
                <w:color w:val="auto"/>
                <w:sz w:val="24"/>
                <w:szCs w:val="24"/>
                <w:lang w:eastAsia="zh-CN"/>
                <w14:ligatures w14:val="standardContextual"/>
              </w:rPr>
              <w:t>）</w:t>
            </w:r>
          </w:p>
          <w:p w14:paraId="48C684A3">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lang w:val="en-US" w:eastAsia="zh-CN"/>
              </w:rPr>
              <w:t>2、</w:t>
            </w:r>
            <w:r>
              <w:rPr>
                <w:rFonts w:hint="eastAsia" w:asciiTheme="majorEastAsia" w:hAnsiTheme="majorEastAsia" w:eastAsiaTheme="majorEastAsia" w:cstheme="majorEastAsia"/>
                <w:color w:val="auto"/>
                <w:kern w:val="0"/>
                <w:sz w:val="24"/>
                <w:szCs w:val="24"/>
              </w:rPr>
              <w:t>安装服务：包含光纤及监控电源线路铺设、设备安装、调试、接入原有监控系统等人工服务，确保系统正常运行。</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评审项41</w:t>
            </w:r>
            <w:r>
              <w:rPr>
                <w:rFonts w:hint="eastAsia" w:asciiTheme="majorEastAsia" w:hAnsiTheme="majorEastAsia" w:eastAsiaTheme="majorEastAsia" w:cstheme="majorEastAsia"/>
                <w:color w:val="auto"/>
                <w:sz w:val="24"/>
                <w:szCs w:val="24"/>
                <w:lang w:eastAsia="zh-CN"/>
                <w14:ligatures w14:val="standardContextual"/>
              </w:rPr>
              <w:t>）</w:t>
            </w:r>
          </w:p>
        </w:tc>
      </w:tr>
      <w:tr w14:paraId="41B0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000" w:type="pct"/>
            <w:gridSpan w:val="3"/>
            <w:vAlign w:val="center"/>
          </w:tcPr>
          <w:p w14:paraId="3EE03835">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b/>
                <w:bCs/>
                <w:color w:val="auto"/>
                <w:kern w:val="0"/>
                <w:sz w:val="24"/>
                <w:szCs w:val="24"/>
              </w:rPr>
              <w:t>四、UPS及电池建设需求</w:t>
            </w:r>
          </w:p>
        </w:tc>
      </w:tr>
      <w:tr w14:paraId="0C04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02099210">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w:t>
            </w:r>
          </w:p>
        </w:tc>
        <w:tc>
          <w:tcPr>
            <w:tcW w:w="681" w:type="pct"/>
            <w:vAlign w:val="center"/>
          </w:tcPr>
          <w:p w14:paraId="0ACADC82">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sz w:val="24"/>
                <w:szCs w:val="24"/>
              </w:rPr>
              <w:t>UPS建设</w:t>
            </w:r>
          </w:p>
        </w:tc>
        <w:tc>
          <w:tcPr>
            <w:tcW w:w="3895" w:type="pct"/>
            <w:vAlign w:val="center"/>
          </w:tcPr>
          <w:p w14:paraId="6BCC7CCA">
            <w:pPr>
              <w:keepNext w:val="0"/>
              <w:keepLines w:val="0"/>
              <w:pageBreakBefore w:val="0"/>
              <w:kinsoku/>
              <w:wordWrap/>
              <w:overflowPunct/>
              <w:topLinePunct w:val="0"/>
              <w:autoSpaceDE/>
              <w:autoSpaceDN/>
              <w:bidi w:val="0"/>
              <w:spacing w:line="360" w:lineRule="atLeast"/>
              <w:ind w:firstLine="480" w:firstLineChars="200"/>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Cs/>
                <w:color w:val="auto"/>
                <w:sz w:val="24"/>
                <w:szCs w:val="24"/>
              </w:rPr>
              <w:t>安装两台80KW输出功率的UPS做并联机冗余，一主一备，单台UPS配备120AH电池2组，分两个地方存放，单台2组电池45KW负荷用电不得少于1.5小时，为摇奖机和开奖演播室制作设备提供不间断电力支撑。</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评审项42</w:t>
            </w:r>
            <w:r>
              <w:rPr>
                <w:rFonts w:hint="eastAsia" w:asciiTheme="majorEastAsia" w:hAnsiTheme="majorEastAsia" w:eastAsiaTheme="majorEastAsia" w:cstheme="majorEastAsia"/>
                <w:color w:val="auto"/>
                <w:sz w:val="24"/>
                <w:szCs w:val="24"/>
                <w:lang w:eastAsia="zh-CN"/>
                <w14:ligatures w14:val="standardContextual"/>
              </w:rPr>
              <w:t>）</w:t>
            </w:r>
          </w:p>
          <w:p w14:paraId="6D7C5B1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（1）UPS 类型</w:t>
            </w:r>
            <w:r>
              <w:rPr>
                <w:rFonts w:hint="eastAsia" w:asciiTheme="majorEastAsia" w:hAnsiTheme="majorEastAsia" w:eastAsiaTheme="majorEastAsia" w:cstheme="majorEastAsia"/>
                <w:bCs/>
                <w:color w:val="auto"/>
                <w:sz w:val="24"/>
                <w:szCs w:val="24"/>
              </w:rPr>
              <w:t>：必须为在线式UPS，确保在市电正常及中断时，都能持续为摇奖机负载设备提供高质量、稳定的电力输出，避免因市电异常波动对负载设备造成损害。</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评审项43</w:t>
            </w:r>
            <w:r>
              <w:rPr>
                <w:rFonts w:hint="eastAsia" w:asciiTheme="majorEastAsia" w:hAnsiTheme="majorEastAsia" w:eastAsiaTheme="majorEastAsia" w:cstheme="majorEastAsia"/>
                <w:color w:val="auto"/>
                <w:sz w:val="24"/>
                <w:szCs w:val="24"/>
                <w:lang w:eastAsia="zh-CN"/>
                <w14:ligatures w14:val="standardContextual"/>
              </w:rPr>
              <w:t>）</w:t>
            </w:r>
          </w:p>
          <w:p w14:paraId="35BA470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（2）额定容量及功率</w:t>
            </w:r>
            <w:r>
              <w:rPr>
                <w:rFonts w:hint="eastAsia" w:asciiTheme="majorEastAsia" w:hAnsiTheme="majorEastAsia" w:eastAsiaTheme="majorEastAsia" w:cstheme="majorEastAsia"/>
                <w:bCs/>
                <w:color w:val="auto"/>
                <w:sz w:val="24"/>
                <w:szCs w:val="24"/>
              </w:rPr>
              <w:t>：额定容量需达到80KVA，额定功率为72KW，以满足当前实际负载功率需求，并预留一定的冗余空间，保障系统在未来可能的负载增长情况下仍能稳定运行。</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评审项44</w:t>
            </w:r>
            <w:r>
              <w:rPr>
                <w:rFonts w:hint="eastAsia" w:asciiTheme="majorEastAsia" w:hAnsiTheme="majorEastAsia" w:eastAsiaTheme="majorEastAsia" w:cstheme="majorEastAsia"/>
                <w:color w:val="auto"/>
                <w:sz w:val="24"/>
                <w:szCs w:val="24"/>
                <w:lang w:eastAsia="zh-CN"/>
                <w14:ligatures w14:val="standardContextual"/>
              </w:rPr>
              <w:t>）</w:t>
            </w:r>
          </w:p>
          <w:p w14:paraId="2A7222A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（3）输入电压</w:t>
            </w:r>
            <w:r>
              <w:rPr>
                <w:rFonts w:hint="eastAsia" w:asciiTheme="majorEastAsia" w:hAnsiTheme="majorEastAsia" w:eastAsiaTheme="majorEastAsia" w:cstheme="majorEastAsia"/>
                <w:bCs/>
                <w:color w:val="auto"/>
                <w:sz w:val="24"/>
                <w:szCs w:val="24"/>
              </w:rPr>
              <w:t>：输入电压需适配市电三相电情况，电压范围应涵盖380V±10%（即342V-418V），以确保在市电电压出现一定波动时，UPS仍能正常工作，同时可适应不同地区市电电压的微小差异。若存在双市电输入配置，市电电压范围需满足线电压201-478Vac，相电压116-276Vac；旁路电压范围为线电压338-458Vac，相电压195-264Vac。</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评审项45</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bCs/>
                <w:color w:val="auto"/>
                <w:sz w:val="24"/>
                <w:szCs w:val="24"/>
              </w:rPr>
              <w:t>​</w:t>
            </w:r>
          </w:p>
          <w:p w14:paraId="05CB1571">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（4）输入频率</w:t>
            </w:r>
            <w:r>
              <w:rPr>
                <w:rFonts w:hint="eastAsia" w:asciiTheme="majorEastAsia" w:hAnsiTheme="majorEastAsia" w:eastAsiaTheme="majorEastAsia" w:cstheme="majorEastAsia"/>
                <w:bCs/>
                <w:color w:val="auto"/>
                <w:sz w:val="24"/>
                <w:szCs w:val="24"/>
              </w:rPr>
              <w:t>：输入频率范围应设置为45-65Hz，可有效兼容不同电网环境下的频率波动，确保设备运行不受频率变化的干扰。</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评审项46</w:t>
            </w:r>
            <w:r>
              <w:rPr>
                <w:rFonts w:hint="eastAsia" w:asciiTheme="majorEastAsia" w:hAnsiTheme="majorEastAsia" w:eastAsiaTheme="majorEastAsia" w:cstheme="majorEastAsia"/>
                <w:color w:val="auto"/>
                <w:sz w:val="24"/>
                <w:szCs w:val="24"/>
                <w:lang w:eastAsia="zh-CN"/>
                <w14:ligatures w14:val="standardContextual"/>
              </w:rPr>
              <w:t>）</w:t>
            </w:r>
          </w:p>
          <w:p w14:paraId="525B6CDE">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（5）输出电压</w:t>
            </w:r>
            <w:r>
              <w:rPr>
                <w:rFonts w:hint="eastAsia" w:asciiTheme="majorEastAsia" w:hAnsiTheme="majorEastAsia" w:eastAsiaTheme="majorEastAsia" w:cstheme="majorEastAsia"/>
                <w:bCs/>
                <w:color w:val="auto"/>
                <w:sz w:val="24"/>
                <w:szCs w:val="24"/>
              </w:rPr>
              <w:t>：输出电压为三相380V，输出电压稳定性需控制在稳态&lt;1%，确保为负载设备提供稳定可靠的电力供应，满足各类对电压稳定性要求较高的设备运行需求。</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评审项47</w:t>
            </w:r>
            <w:r>
              <w:rPr>
                <w:rFonts w:hint="eastAsia" w:asciiTheme="majorEastAsia" w:hAnsiTheme="majorEastAsia" w:eastAsiaTheme="majorEastAsia" w:cstheme="majorEastAsia"/>
                <w:color w:val="auto"/>
                <w:sz w:val="24"/>
                <w:szCs w:val="24"/>
                <w:lang w:eastAsia="zh-CN"/>
                <w14:ligatures w14:val="standardContextual"/>
              </w:rPr>
              <w:t>）</w:t>
            </w:r>
          </w:p>
          <w:p w14:paraId="59A0C588">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（6）输出频率</w:t>
            </w:r>
            <w:r>
              <w:rPr>
                <w:rFonts w:hint="eastAsia" w:asciiTheme="majorEastAsia" w:hAnsiTheme="majorEastAsia" w:eastAsiaTheme="majorEastAsia" w:cstheme="majorEastAsia"/>
                <w:bCs/>
                <w:color w:val="auto"/>
                <w:sz w:val="24"/>
                <w:szCs w:val="24"/>
              </w:rPr>
              <w:t>：输出频率应稳定在50Hz或60Hz，频率误差在同步旁路频率范围±4Hz以内，避免因频率偏差对负载设备的正常运行产生影响。</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评审项48</w:t>
            </w:r>
            <w:r>
              <w:rPr>
                <w:rFonts w:hint="eastAsia" w:asciiTheme="majorEastAsia" w:hAnsiTheme="majorEastAsia" w:eastAsiaTheme="majorEastAsia" w:cstheme="majorEastAsia"/>
                <w:color w:val="auto"/>
                <w:sz w:val="24"/>
                <w:szCs w:val="24"/>
                <w:lang w:eastAsia="zh-CN"/>
                <w14:ligatures w14:val="standardContextual"/>
              </w:rPr>
              <w:t>）</w:t>
            </w:r>
          </w:p>
          <w:p w14:paraId="4EE5F38E">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（7）整机效率</w:t>
            </w:r>
            <w:r>
              <w:rPr>
                <w:rFonts w:hint="eastAsia" w:asciiTheme="majorEastAsia" w:hAnsiTheme="majorEastAsia" w:eastAsiaTheme="majorEastAsia" w:cstheme="majorEastAsia"/>
                <w:bCs/>
                <w:color w:val="auto"/>
                <w:sz w:val="24"/>
                <w:szCs w:val="24"/>
              </w:rPr>
              <w:t>：双变换模式下整机效率不低于96%，ECO模式下不低于99%，以提高能源利用效率，降低长期运行成本，同时减少能源浪费，符合节能环保要求。</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评审项49</w:t>
            </w:r>
            <w:r>
              <w:rPr>
                <w:rFonts w:hint="eastAsia" w:asciiTheme="majorEastAsia" w:hAnsiTheme="majorEastAsia" w:eastAsiaTheme="majorEastAsia" w:cstheme="majorEastAsia"/>
                <w:color w:val="auto"/>
                <w:sz w:val="24"/>
                <w:szCs w:val="24"/>
                <w:lang w:eastAsia="zh-CN"/>
                <w14:ligatures w14:val="standardContextual"/>
              </w:rPr>
              <w:t>）</w:t>
            </w:r>
          </w:p>
          <w:p w14:paraId="0C94615C">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（8）过载能力</w:t>
            </w:r>
            <w:r>
              <w:rPr>
                <w:rFonts w:hint="eastAsia" w:asciiTheme="majorEastAsia" w:hAnsiTheme="majorEastAsia" w:eastAsiaTheme="majorEastAsia" w:cstheme="majorEastAsia"/>
                <w:bCs/>
                <w:color w:val="auto"/>
                <w:sz w:val="24"/>
                <w:szCs w:val="24"/>
              </w:rPr>
              <w:t>：具备良好的过载保护能力，当负载在102-110%时，可连续运行60分钟；负载在111-125%时，可持续运行10分钟；负载在126-150%时，能坚持运行1分钟，确保在短暂过载情况下，UPS及负载设备的安全运行，避免因过载引发故障。</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评审项50</w:t>
            </w:r>
            <w:r>
              <w:rPr>
                <w:rFonts w:hint="eastAsia" w:asciiTheme="majorEastAsia" w:hAnsiTheme="majorEastAsia" w:eastAsiaTheme="majorEastAsia" w:cstheme="majorEastAsia"/>
                <w:color w:val="auto"/>
                <w:sz w:val="24"/>
                <w:szCs w:val="24"/>
                <w:lang w:eastAsia="zh-CN"/>
                <w14:ligatures w14:val="standardContextual"/>
              </w:rPr>
              <w:t>）</w:t>
            </w:r>
          </w:p>
          <w:p w14:paraId="23A40F2E">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（9）电池兼容性</w:t>
            </w:r>
            <w:r>
              <w:rPr>
                <w:rFonts w:hint="eastAsia" w:asciiTheme="majorEastAsia" w:hAnsiTheme="majorEastAsia" w:eastAsiaTheme="majorEastAsia" w:cstheme="majorEastAsia"/>
                <w:bCs/>
                <w:color w:val="auto"/>
                <w:sz w:val="24"/>
                <w:szCs w:val="24"/>
              </w:rPr>
              <w:t>：需兼容VRLA铅酸电池、AGM电池、胶体电池、NiCad电池、锂电池等多种类型电池，以便根据实际需求和预算灵活选择适配的电池组，同时确保与所选电池组能良好协同工作，保障供电稳定性。</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评审项51</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bCs/>
                <w:color w:val="auto"/>
                <w:sz w:val="24"/>
                <w:szCs w:val="24"/>
              </w:rPr>
              <w:t>​</w:t>
            </w:r>
          </w:p>
          <w:p w14:paraId="0E7CA646">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（10）工作环境要求</w:t>
            </w:r>
            <w:r>
              <w:rPr>
                <w:rFonts w:hint="eastAsia" w:asciiTheme="majorEastAsia" w:hAnsiTheme="majorEastAsia" w:eastAsiaTheme="majorEastAsia" w:cstheme="majorEastAsia"/>
                <w:bCs/>
                <w:color w:val="auto"/>
                <w:sz w:val="24"/>
                <w:szCs w:val="24"/>
              </w:rPr>
              <w:t>：设备应能在工作温度0-40℃，环境湿度20-80%无凝霜的环境下稳定运行，以适应不同季节和地域的室内环境条件，保障UPS在各种常规环境下的可靠运行。</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评审项52</w:t>
            </w:r>
            <w:r>
              <w:rPr>
                <w:rFonts w:hint="eastAsia" w:asciiTheme="majorEastAsia" w:hAnsiTheme="majorEastAsia" w:eastAsiaTheme="majorEastAsia" w:cstheme="majorEastAsia"/>
                <w:color w:val="auto"/>
                <w:sz w:val="24"/>
                <w:szCs w:val="24"/>
                <w:lang w:eastAsia="zh-CN"/>
                <w14:ligatures w14:val="standardContextual"/>
              </w:rPr>
              <w:t>）</w:t>
            </w:r>
          </w:p>
          <w:p w14:paraId="052402A8">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（11）输入配线</w:t>
            </w:r>
            <w:r>
              <w:rPr>
                <w:rFonts w:hint="eastAsia" w:asciiTheme="majorEastAsia" w:hAnsiTheme="majorEastAsia" w:eastAsiaTheme="majorEastAsia" w:cstheme="majorEastAsia"/>
                <w:bCs/>
                <w:color w:val="auto"/>
                <w:sz w:val="24"/>
                <w:szCs w:val="24"/>
              </w:rPr>
              <w:t>：采用三相+N线+地线的输入配线方式，确保电力接入的安全性和稳定性，有效避免因配线不当引发的电气安全问题。</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评审项53</w:t>
            </w:r>
            <w:r>
              <w:rPr>
                <w:rFonts w:hint="eastAsia" w:asciiTheme="majorEastAsia" w:hAnsiTheme="majorEastAsia" w:eastAsiaTheme="majorEastAsia" w:cstheme="majorEastAsia"/>
                <w:color w:val="auto"/>
                <w:sz w:val="24"/>
                <w:szCs w:val="24"/>
                <w:lang w:eastAsia="zh-CN"/>
                <w14:ligatures w14:val="standardContextual"/>
              </w:rPr>
              <w:t>）</w:t>
            </w:r>
          </w:p>
          <w:p w14:paraId="209DE381">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（12）输入谐波及功因</w:t>
            </w:r>
            <w:r>
              <w:rPr>
                <w:rFonts w:hint="eastAsia" w:asciiTheme="majorEastAsia" w:hAnsiTheme="majorEastAsia" w:eastAsiaTheme="majorEastAsia" w:cstheme="majorEastAsia"/>
                <w:bCs/>
                <w:color w:val="auto"/>
                <w:sz w:val="24"/>
                <w:szCs w:val="24"/>
              </w:rPr>
              <w:t>：输入谐波需满足&lt;2% 线性负载，&lt;5%非线性负载，输入功因≥0.99，减少对市电电网的谐波污染，提高电能质量，同时提升UPS自身的能源利用效率。</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评审项54</w:t>
            </w:r>
            <w:r>
              <w:rPr>
                <w:rFonts w:hint="eastAsia" w:asciiTheme="majorEastAsia" w:hAnsiTheme="majorEastAsia" w:eastAsiaTheme="majorEastAsia" w:cstheme="majorEastAsia"/>
                <w:color w:val="auto"/>
                <w:sz w:val="24"/>
                <w:szCs w:val="24"/>
                <w:lang w:eastAsia="zh-CN"/>
                <w14:ligatures w14:val="standardContextual"/>
              </w:rPr>
              <w:t>）</w:t>
            </w:r>
          </w:p>
          <w:p w14:paraId="14A76AE3">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（13）输出功因</w:t>
            </w:r>
            <w:r>
              <w:rPr>
                <w:rFonts w:hint="eastAsia" w:asciiTheme="majorEastAsia" w:hAnsiTheme="majorEastAsia" w:eastAsiaTheme="majorEastAsia" w:cstheme="majorEastAsia"/>
                <w:bCs/>
                <w:color w:val="auto"/>
                <w:sz w:val="24"/>
                <w:szCs w:val="24"/>
              </w:rPr>
              <w:t>：输出功因需达到1.0，以更好地匹配各类负载设备，提高电力传输效率，保障负载设备的正常运行。</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评审项55</w:t>
            </w:r>
            <w:r>
              <w:rPr>
                <w:rFonts w:hint="eastAsia" w:asciiTheme="majorEastAsia" w:hAnsiTheme="majorEastAsia" w:eastAsiaTheme="majorEastAsia" w:cstheme="majorEastAsia"/>
                <w:color w:val="auto"/>
                <w:sz w:val="24"/>
                <w:szCs w:val="24"/>
                <w:lang w:eastAsia="zh-CN"/>
                <w14:ligatures w14:val="standardContextual"/>
              </w:rPr>
              <w:t>）</w:t>
            </w:r>
          </w:p>
        </w:tc>
      </w:tr>
      <w:tr w14:paraId="0318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36B582A1">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2</w:t>
            </w:r>
          </w:p>
        </w:tc>
        <w:tc>
          <w:tcPr>
            <w:tcW w:w="681" w:type="pct"/>
            <w:vAlign w:val="center"/>
          </w:tcPr>
          <w:p w14:paraId="0CC5A26F">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sz w:val="24"/>
                <w:szCs w:val="24"/>
              </w:rPr>
              <w:t>UPS电池</w:t>
            </w:r>
          </w:p>
        </w:tc>
        <w:tc>
          <w:tcPr>
            <w:tcW w:w="3895" w:type="pct"/>
            <w:vAlign w:val="center"/>
          </w:tcPr>
          <w:p w14:paraId="35B01B87">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（1）电池组要求</w:t>
            </w:r>
            <w:r>
              <w:rPr>
                <w:rFonts w:hint="eastAsia" w:asciiTheme="majorEastAsia" w:hAnsiTheme="majorEastAsia" w:eastAsiaTheme="majorEastAsia" w:cstheme="majorEastAsia"/>
                <w:bCs/>
                <w:color w:val="auto"/>
                <w:sz w:val="24"/>
                <w:szCs w:val="24"/>
              </w:rPr>
              <w:t>：配备与80KUPS相匹配的电池组，电池容量需满足在市电中断后，单台UPS能保障设备约1.5小时正常用电。</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评审项56</w:t>
            </w:r>
            <w:r>
              <w:rPr>
                <w:rFonts w:hint="eastAsia" w:asciiTheme="majorEastAsia" w:hAnsiTheme="majorEastAsia" w:eastAsiaTheme="majorEastAsia" w:cstheme="majorEastAsia"/>
                <w:color w:val="auto"/>
                <w:sz w:val="24"/>
                <w:szCs w:val="24"/>
                <w:lang w:eastAsia="zh-CN"/>
                <w14:ligatures w14:val="standardContextual"/>
              </w:rPr>
              <w:t>）</w:t>
            </w:r>
          </w:p>
          <w:p w14:paraId="4171EEDE">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（2）电池柜要求</w:t>
            </w:r>
            <w:r>
              <w:rPr>
                <w:rFonts w:hint="eastAsia" w:asciiTheme="majorEastAsia" w:hAnsiTheme="majorEastAsia" w:eastAsiaTheme="majorEastAsia" w:cstheme="majorEastAsia"/>
                <w:bCs/>
                <w:color w:val="auto"/>
                <w:sz w:val="24"/>
                <w:szCs w:val="24"/>
              </w:rPr>
              <w:t>：提供专用电池柜，用于规范存放电池组，电池柜应具备良好的通风、散热性能，且结构稳固，能有效保护电池，同时需考虑电池组的尺寸和重量，确保电池柜能容纳并稳固放置电池组。</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评审项57</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bCs/>
                <w:color w:val="auto"/>
                <w:sz w:val="24"/>
                <w:szCs w:val="24"/>
              </w:rPr>
              <w:t>​</w:t>
            </w:r>
          </w:p>
          <w:p w14:paraId="4F397161">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（3）电池监控</w:t>
            </w:r>
            <w:r>
              <w:rPr>
                <w:rFonts w:hint="eastAsia" w:asciiTheme="majorEastAsia" w:hAnsiTheme="majorEastAsia" w:eastAsiaTheme="majorEastAsia" w:cstheme="majorEastAsia"/>
                <w:bCs/>
                <w:color w:val="auto"/>
                <w:sz w:val="24"/>
                <w:szCs w:val="24"/>
              </w:rPr>
              <w:t>：电池需配备监控系统，实时监测电池的电压、电流、温度等关键参数，当电池出现异常时能及时发出告警信号，便于工作人员及时处理。监控系统还应能记录电池的充放电次数、运行状态等信息，为电池的维护和更换提供依据。</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评审项58</w:t>
            </w:r>
            <w:r>
              <w:rPr>
                <w:rFonts w:hint="eastAsia" w:asciiTheme="majorEastAsia" w:hAnsiTheme="majorEastAsia" w:eastAsiaTheme="majorEastAsia" w:cstheme="majorEastAsia"/>
                <w:color w:val="auto"/>
                <w:sz w:val="24"/>
                <w:szCs w:val="24"/>
                <w:lang w:eastAsia="zh-CN"/>
                <w14:ligatures w14:val="standardContextual"/>
              </w:rPr>
              <w:t>）</w:t>
            </w:r>
          </w:p>
          <w:p w14:paraId="4B245866">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（4）安装要求</w:t>
            </w:r>
            <w:r>
              <w:rPr>
                <w:rFonts w:hint="eastAsia" w:asciiTheme="majorEastAsia" w:hAnsiTheme="majorEastAsia" w:eastAsiaTheme="majorEastAsia" w:cstheme="majorEastAsia"/>
                <w:bCs/>
                <w:color w:val="auto"/>
                <w:sz w:val="24"/>
                <w:szCs w:val="24"/>
              </w:rPr>
              <w:t>：</w:t>
            </w:r>
          </w:p>
          <w:p w14:paraId="106B41A5">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Cs/>
                <w:color w:val="auto"/>
                <w:sz w:val="24"/>
                <w:szCs w:val="24"/>
              </w:rPr>
              <w:t>1）采用支架支撑，支架高度根据设备布线及散热需求设定，确保地板下方留有足够空间用于线缆敷设和空气流通</w:t>
            </w:r>
            <w:r>
              <w:rPr>
                <w:rFonts w:hint="eastAsia" w:asciiTheme="majorEastAsia" w:hAnsiTheme="majorEastAsia" w:eastAsiaTheme="majorEastAsia" w:cstheme="majorEastAsia"/>
                <w:bCs/>
                <w:color w:val="auto"/>
                <w:sz w:val="24"/>
                <w:szCs w:val="24"/>
                <w:lang w:eastAsia="zh-CN"/>
              </w:rPr>
              <w:t>。</w:t>
            </w:r>
            <w:r>
              <w:rPr>
                <w:rFonts w:hint="eastAsia" w:asciiTheme="majorEastAsia" w:hAnsiTheme="majorEastAsia" w:eastAsiaTheme="majorEastAsia" w:cstheme="majorEastAsia"/>
                <w:bCs/>
                <w:color w:val="auto"/>
                <w:sz w:val="24"/>
                <w:szCs w:val="24"/>
              </w:rPr>
              <w:t>2）地板之间连接紧密，缝隙不超过1mm，安装后整体平面度误差不大于3mm，且能自由拆卸，便于后期维护。3）安装完成后需进行接地处理，通过铜带将防静电地板与机房接地系统连接，接地电阻不大于4Ω。</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评审项59</w:t>
            </w:r>
            <w:r>
              <w:rPr>
                <w:rFonts w:hint="eastAsia" w:asciiTheme="majorEastAsia" w:hAnsiTheme="majorEastAsia" w:eastAsiaTheme="majorEastAsia" w:cstheme="majorEastAsia"/>
                <w:color w:val="auto"/>
                <w:sz w:val="24"/>
                <w:szCs w:val="24"/>
                <w:lang w:eastAsia="zh-CN"/>
                <w14:ligatures w14:val="standardContextual"/>
              </w:rPr>
              <w:t>）</w:t>
            </w:r>
          </w:p>
          <w:p w14:paraId="41464D3A">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b/>
                <w:bCs/>
                <w:color w:val="auto"/>
                <w:sz w:val="24"/>
                <w:szCs w:val="24"/>
              </w:rPr>
            </w:pPr>
            <w:r>
              <w:rPr>
                <w:rFonts w:hint="eastAsia" w:asciiTheme="majorEastAsia" w:hAnsiTheme="majorEastAsia" w:eastAsiaTheme="majorEastAsia" w:cstheme="majorEastAsia"/>
                <w:b/>
                <w:bCs/>
                <w:color w:val="auto"/>
                <w:sz w:val="24"/>
                <w:szCs w:val="24"/>
              </w:rPr>
              <w:t>（5）质保及服务要求：</w:t>
            </w:r>
          </w:p>
          <w:p w14:paraId="70649BF5">
            <w:pPr>
              <w:keepNext w:val="0"/>
              <w:keepLines w:val="0"/>
              <w:pageBreakBefore w:val="0"/>
              <w:kinsoku/>
              <w:wordWrap/>
              <w:overflowPunct/>
              <w:topLinePunct w:val="0"/>
              <w:autoSpaceDE/>
              <w:autoSpaceDN/>
              <w:bidi w:val="0"/>
              <w:adjustRightInd w:val="0"/>
              <w:snapToGrid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Cs/>
                <w:color w:val="auto"/>
                <w:sz w:val="24"/>
                <w:szCs w:val="24"/>
              </w:rPr>
              <w:t>1）UPS及电池需满足原厂3年质保要求，3年免费维保服务。2）UPS机房整体3年免费维保服务，7*24小时电话服务，30分钟内派遣维修人员到达现场，现场无法维修的，需提供备用设备，以确保UPS机房运行稳定。如无法达到服务要求，每次将扣除质保金金额的10%，造成较重后果将负相应经济及法律责任。</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评审项60</w:t>
            </w:r>
            <w:r>
              <w:rPr>
                <w:rFonts w:hint="eastAsia" w:asciiTheme="majorEastAsia" w:hAnsiTheme="majorEastAsia" w:eastAsiaTheme="majorEastAsia" w:cstheme="majorEastAsia"/>
                <w:color w:val="auto"/>
                <w:sz w:val="24"/>
                <w:szCs w:val="24"/>
                <w:lang w:eastAsia="zh-CN"/>
                <w14:ligatures w14:val="standardContextual"/>
              </w:rPr>
              <w:t>）</w:t>
            </w:r>
          </w:p>
        </w:tc>
      </w:tr>
      <w:tr w14:paraId="701E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5000" w:type="pct"/>
            <w:gridSpan w:val="3"/>
            <w:vAlign w:val="center"/>
          </w:tcPr>
          <w:p w14:paraId="236FCE77">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b/>
                <w:bCs/>
                <w:color w:val="auto"/>
                <w:kern w:val="0"/>
                <w:sz w:val="24"/>
                <w:szCs w:val="24"/>
              </w:rPr>
              <w:t>五、电力改造需求</w:t>
            </w:r>
          </w:p>
        </w:tc>
      </w:tr>
      <w:tr w14:paraId="02E1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22" w:type="pct"/>
            <w:vAlign w:val="center"/>
          </w:tcPr>
          <w:p w14:paraId="3F110AE3">
            <w:pPr>
              <w:keepNext w:val="0"/>
              <w:keepLines w:val="0"/>
              <w:pageBreakBefore w:val="0"/>
              <w:widowControl/>
              <w:kinsoku/>
              <w:wordWrap/>
              <w:overflowPunct/>
              <w:topLinePunct w:val="0"/>
              <w:autoSpaceDE/>
              <w:autoSpaceDN/>
              <w:bidi w:val="0"/>
              <w:spacing w:line="360" w:lineRule="atLeast"/>
              <w:jc w:val="center"/>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kern w:val="0"/>
                <w:sz w:val="24"/>
                <w:szCs w:val="24"/>
              </w:rPr>
              <w:t>1</w:t>
            </w:r>
          </w:p>
        </w:tc>
        <w:tc>
          <w:tcPr>
            <w:tcW w:w="681" w:type="pct"/>
            <w:vAlign w:val="center"/>
          </w:tcPr>
          <w:p w14:paraId="57FB6EE4">
            <w:pPr>
              <w:keepNext w:val="0"/>
              <w:keepLines w:val="0"/>
              <w:pageBreakBefore w:val="0"/>
              <w:widowControl/>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kern w:val="0"/>
                <w:sz w:val="24"/>
                <w:szCs w:val="24"/>
              </w:rPr>
            </w:pPr>
            <w:r>
              <w:rPr>
                <w:rFonts w:hint="eastAsia" w:asciiTheme="majorEastAsia" w:hAnsiTheme="majorEastAsia" w:eastAsiaTheme="majorEastAsia" w:cstheme="majorEastAsia"/>
                <w:color w:val="auto"/>
                <w:sz w:val="24"/>
                <w:szCs w:val="24"/>
              </w:rPr>
              <w:t>线槽、线缆及配电箱要求</w:t>
            </w:r>
          </w:p>
        </w:tc>
        <w:tc>
          <w:tcPr>
            <w:tcW w:w="3895" w:type="pct"/>
            <w:vAlign w:val="center"/>
          </w:tcPr>
          <w:p w14:paraId="6F0127BE">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sz w:val="24"/>
                <w:szCs w:val="24"/>
              </w:rPr>
            </w:pPr>
            <w:r>
              <w:rPr>
                <w:rFonts w:hint="eastAsia" w:asciiTheme="majorEastAsia" w:hAnsiTheme="majorEastAsia" w:eastAsiaTheme="majorEastAsia" w:cstheme="majorEastAsia"/>
                <w:b/>
                <w:bCs/>
                <w:color w:val="auto"/>
                <w:sz w:val="24"/>
                <w:szCs w:val="24"/>
                <w:lang w:val="en-US" w:eastAsia="zh-CN"/>
              </w:rPr>
              <w:t>1、</w:t>
            </w:r>
            <w:r>
              <w:rPr>
                <w:rFonts w:hint="eastAsia" w:asciiTheme="majorEastAsia" w:hAnsiTheme="majorEastAsia" w:eastAsiaTheme="majorEastAsia" w:cstheme="majorEastAsia"/>
                <w:b/>
                <w:bCs/>
                <w:color w:val="auto"/>
                <w:sz w:val="24"/>
                <w:szCs w:val="24"/>
              </w:rPr>
              <w:t>线槽要求：</w:t>
            </w:r>
          </w:p>
          <w:p w14:paraId="4063A21D">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（1）材质与规格：</w:t>
            </w:r>
            <w:r>
              <w:rPr>
                <w:rFonts w:hint="eastAsia" w:asciiTheme="majorEastAsia" w:hAnsiTheme="majorEastAsia" w:eastAsiaTheme="majorEastAsia" w:cstheme="majorEastAsia"/>
                <w:color w:val="auto"/>
                <w:sz w:val="24"/>
                <w:szCs w:val="24"/>
              </w:rPr>
              <w:t>采用封闭式金属线槽（防火镀锌钢板材质），主线槽截面尺寸不小于100mm×75mm，分支线槽尺寸不小于50mm×50mm，壁厚不小于 1.2mm，确保能容纳UPS 输入输出线缆、电池连接线及监控线缆等。</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评审项61</w:t>
            </w:r>
            <w:r>
              <w:rPr>
                <w:rFonts w:hint="eastAsia" w:asciiTheme="majorEastAsia" w:hAnsiTheme="majorEastAsia" w:eastAsiaTheme="majorEastAsia" w:cstheme="majorEastAsia"/>
                <w:color w:val="auto"/>
                <w:sz w:val="24"/>
                <w:szCs w:val="24"/>
                <w:lang w:eastAsia="zh-CN"/>
                <w14:ligatures w14:val="standardContextual"/>
              </w:rPr>
              <w:t>）</w:t>
            </w:r>
          </w:p>
          <w:p w14:paraId="3B2BEEF1">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2</w:t>
            </w:r>
            <w:r>
              <w:rPr>
                <w:rFonts w:hint="eastAsia" w:asciiTheme="majorEastAsia" w:hAnsiTheme="majorEastAsia" w:eastAsiaTheme="majorEastAsia" w:cstheme="majorEastAsia"/>
                <w:b/>
                <w:bCs/>
                <w:color w:val="auto"/>
                <w:sz w:val="24"/>
                <w:szCs w:val="24"/>
              </w:rPr>
              <w:t>）布置方式：</w:t>
            </w:r>
            <w:r>
              <w:rPr>
                <w:rFonts w:hint="eastAsia" w:asciiTheme="majorEastAsia" w:hAnsiTheme="majorEastAsia" w:eastAsiaTheme="majorEastAsia" w:cstheme="majorEastAsia"/>
                <w:color w:val="auto"/>
                <w:sz w:val="24"/>
                <w:szCs w:val="24"/>
              </w:rPr>
              <w:t>沿机房墙面或防静电地板下方敷设，走向横平竖直，转弯处采用专用弯头，转弯半径不小于线槽直径的 2 倍。与配电箱、UPS 及电池柜的连接需预留专用接口，接口处需做绝缘防护处理。</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评审项62</w:t>
            </w:r>
            <w:r>
              <w:rPr>
                <w:rFonts w:hint="eastAsia" w:asciiTheme="majorEastAsia" w:hAnsiTheme="majorEastAsia" w:eastAsiaTheme="majorEastAsia" w:cstheme="majorEastAsia"/>
                <w:color w:val="auto"/>
                <w:sz w:val="24"/>
                <w:szCs w:val="24"/>
                <w:lang w:eastAsia="zh-CN"/>
                <w14:ligatures w14:val="standardContextual"/>
              </w:rPr>
              <w:t>）</w:t>
            </w:r>
          </w:p>
          <w:p w14:paraId="11E16704">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3</w:t>
            </w:r>
            <w:r>
              <w:rPr>
                <w:rFonts w:hint="eastAsia" w:asciiTheme="majorEastAsia" w:hAnsiTheme="majorEastAsia" w:eastAsiaTheme="majorEastAsia" w:cstheme="majorEastAsia"/>
                <w:b/>
                <w:bCs/>
                <w:color w:val="auto"/>
                <w:sz w:val="24"/>
                <w:szCs w:val="24"/>
              </w:rPr>
              <w:t>）固定与接地：</w:t>
            </w:r>
            <w:r>
              <w:rPr>
                <w:rFonts w:hint="eastAsia" w:asciiTheme="majorEastAsia" w:hAnsiTheme="majorEastAsia" w:eastAsiaTheme="majorEastAsia" w:cstheme="majorEastAsia"/>
                <w:color w:val="auto"/>
                <w:sz w:val="24"/>
                <w:szCs w:val="24"/>
              </w:rPr>
              <w:t>通过膨胀螺栓固定，固定点间距不大于1.5m，各段线槽需通过跨接线连接并接入机房接地系统，接地电阻不大于4Ω。</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评审项63</w:t>
            </w:r>
            <w:r>
              <w:rPr>
                <w:rFonts w:hint="eastAsia" w:asciiTheme="majorEastAsia" w:hAnsiTheme="majorEastAsia" w:eastAsiaTheme="majorEastAsia" w:cstheme="majorEastAsia"/>
                <w:color w:val="auto"/>
                <w:sz w:val="24"/>
                <w:szCs w:val="24"/>
                <w:lang w:eastAsia="zh-CN"/>
                <w14:ligatures w14:val="standardContextual"/>
              </w:rPr>
              <w:t>）</w:t>
            </w:r>
          </w:p>
          <w:p w14:paraId="1E33AD84">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val="0"/>
                <w:color w:val="auto"/>
                <w:sz w:val="24"/>
                <w:szCs w:val="24"/>
              </w:rPr>
            </w:pPr>
            <w:r>
              <w:rPr>
                <w:rFonts w:hint="eastAsia" w:asciiTheme="majorEastAsia" w:hAnsiTheme="majorEastAsia" w:eastAsiaTheme="majorEastAsia" w:cstheme="majorEastAsia"/>
                <w:b/>
                <w:bCs/>
                <w:color w:val="auto"/>
                <w:sz w:val="24"/>
                <w:szCs w:val="24"/>
                <w:lang w:val="en-US" w:eastAsia="zh-CN"/>
              </w:rPr>
              <w:t>2、</w:t>
            </w:r>
            <w:r>
              <w:rPr>
                <w:rFonts w:hint="eastAsia" w:asciiTheme="majorEastAsia" w:hAnsiTheme="majorEastAsia" w:eastAsiaTheme="majorEastAsia" w:cstheme="majorEastAsia"/>
                <w:b/>
                <w:bCs/>
                <w:color w:val="auto"/>
                <w:sz w:val="24"/>
                <w:szCs w:val="24"/>
              </w:rPr>
              <w:t>线缆要求</w:t>
            </w:r>
            <w:r>
              <w:rPr>
                <w:rFonts w:hint="eastAsia" w:asciiTheme="majorEastAsia" w:hAnsiTheme="majorEastAsia" w:eastAsiaTheme="majorEastAsia" w:cstheme="majorEastAsia"/>
                <w:b/>
                <w:bCs w:val="0"/>
                <w:color w:val="auto"/>
                <w:sz w:val="24"/>
                <w:szCs w:val="24"/>
              </w:rPr>
              <w:t>：</w:t>
            </w:r>
          </w:p>
          <w:p w14:paraId="5AAA9C0B">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bCs/>
                <w:color w:val="auto"/>
                <w:sz w:val="24"/>
                <w:szCs w:val="24"/>
              </w:rPr>
              <w:t>（1）</w:t>
            </w:r>
            <w:r>
              <w:rPr>
                <w:rFonts w:hint="eastAsia" w:asciiTheme="majorEastAsia" w:hAnsiTheme="majorEastAsia" w:eastAsiaTheme="majorEastAsia" w:cstheme="majorEastAsia"/>
                <w:b/>
                <w:color w:val="auto"/>
                <w:sz w:val="24"/>
                <w:szCs w:val="24"/>
              </w:rPr>
              <w:t>市电至UPS配电箱线缆：</w:t>
            </w:r>
          </w:p>
          <w:p w14:paraId="379FFA71">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Cs/>
                <w:color w:val="auto"/>
                <w:sz w:val="24"/>
                <w:szCs w:val="24"/>
              </w:rPr>
              <w:t>采用25平方毫米低烟无卤阻燃电缆（WDZB-YJY4*25+2*16）。长度约15米内，需满足载流量要求45KW。</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评审项64</w:t>
            </w:r>
            <w:r>
              <w:rPr>
                <w:rFonts w:hint="eastAsia" w:asciiTheme="majorEastAsia" w:hAnsiTheme="majorEastAsia" w:eastAsiaTheme="majorEastAsia" w:cstheme="majorEastAsia"/>
                <w:color w:val="auto"/>
                <w:sz w:val="24"/>
                <w:szCs w:val="24"/>
                <w:lang w:eastAsia="zh-CN"/>
                <w14:ligatures w14:val="standardContextual"/>
              </w:rPr>
              <w:t>）</w:t>
            </w:r>
          </w:p>
          <w:p w14:paraId="591390A3">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2</w:t>
            </w: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color w:val="auto"/>
                <w:sz w:val="24"/>
                <w:szCs w:val="24"/>
              </w:rPr>
              <w:t>配电箱至 UPS 线缆：</w:t>
            </w:r>
            <w:bookmarkStart w:id="10" w:name="_Hlk217300396"/>
            <w:r>
              <w:rPr>
                <w:rFonts w:hint="eastAsia" w:asciiTheme="majorEastAsia" w:hAnsiTheme="majorEastAsia" w:eastAsiaTheme="majorEastAsia" w:cstheme="majorEastAsia"/>
                <w:bCs/>
                <w:color w:val="auto"/>
                <w:sz w:val="24"/>
                <w:szCs w:val="24"/>
              </w:rPr>
              <w:t>长度约10米，采用低烟无卤阻燃电缆（WDZB-YJY4*25+2*16）在槽内不扭曲、不交叉，冗余长度不超过 1 米。</w:t>
            </w:r>
            <w:bookmarkEnd w:id="10"/>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评审项65</w:t>
            </w:r>
            <w:r>
              <w:rPr>
                <w:rFonts w:hint="eastAsia" w:asciiTheme="majorEastAsia" w:hAnsiTheme="majorEastAsia" w:eastAsiaTheme="majorEastAsia" w:cstheme="majorEastAsia"/>
                <w:color w:val="auto"/>
                <w:sz w:val="24"/>
                <w:szCs w:val="24"/>
                <w:lang w:eastAsia="zh-CN"/>
                <w14:ligatures w14:val="standardContextual"/>
              </w:rPr>
              <w:t>）</w:t>
            </w:r>
          </w:p>
          <w:p w14:paraId="7DECA2C6">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3</w:t>
            </w: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color w:val="auto"/>
                <w:sz w:val="24"/>
                <w:szCs w:val="24"/>
              </w:rPr>
              <w:t>UPS室配电箱至舞台区配电箱：</w:t>
            </w:r>
            <w:r>
              <w:rPr>
                <w:rFonts w:hint="eastAsia" w:asciiTheme="majorEastAsia" w:hAnsiTheme="majorEastAsia" w:eastAsiaTheme="majorEastAsia" w:cstheme="majorEastAsia"/>
                <w:bCs/>
                <w:color w:val="auto"/>
                <w:sz w:val="24"/>
                <w:szCs w:val="24"/>
              </w:rPr>
              <w:t>需5路长度约100米线缆，采用低烟无卤阻燃电缆（WDZB-YJY4*25+2*16）。</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评审项66</w:t>
            </w:r>
            <w:r>
              <w:rPr>
                <w:rFonts w:hint="eastAsia" w:asciiTheme="majorEastAsia" w:hAnsiTheme="majorEastAsia" w:eastAsiaTheme="majorEastAsia" w:cstheme="majorEastAsia"/>
                <w:color w:val="auto"/>
                <w:sz w:val="24"/>
                <w:szCs w:val="24"/>
                <w:lang w:eastAsia="zh-CN"/>
                <w14:ligatures w14:val="standardContextual"/>
              </w:rPr>
              <w:t>）</w:t>
            </w:r>
          </w:p>
          <w:p w14:paraId="67A91364">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lang w:eastAsia="zh-CN"/>
                <w14:ligatures w14:val="standardContextual"/>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4</w:t>
            </w: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color w:val="auto"/>
                <w:sz w:val="24"/>
                <w:szCs w:val="24"/>
              </w:rPr>
              <w:t>UPS室配电箱至导播间配电箱：</w:t>
            </w:r>
            <w:r>
              <w:rPr>
                <w:rFonts w:hint="eastAsia" w:asciiTheme="majorEastAsia" w:hAnsiTheme="majorEastAsia" w:eastAsiaTheme="majorEastAsia" w:cstheme="majorEastAsia"/>
                <w:bCs/>
                <w:color w:val="auto"/>
                <w:sz w:val="24"/>
                <w:szCs w:val="24"/>
              </w:rPr>
              <w:t>两个配箱，单独铺设至UPS室配电箱,采用25平方毫米低烟无卤阻燃电缆（WDZB-YJY4*25+2*16）。长度约80米内，需满足载流量要求30KW。</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评审项67</w:t>
            </w:r>
            <w:r>
              <w:rPr>
                <w:rFonts w:hint="eastAsia" w:asciiTheme="majorEastAsia" w:hAnsiTheme="majorEastAsia" w:eastAsiaTheme="majorEastAsia" w:cstheme="majorEastAsia"/>
                <w:color w:val="auto"/>
                <w:sz w:val="24"/>
                <w:szCs w:val="24"/>
                <w:lang w:eastAsia="zh-CN"/>
                <w14:ligatures w14:val="standardContextual"/>
              </w:rPr>
              <w:t>）</w:t>
            </w:r>
          </w:p>
          <w:p w14:paraId="069DB9A9">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Cs/>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5</w:t>
            </w: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color w:val="auto"/>
                <w:sz w:val="24"/>
                <w:szCs w:val="24"/>
              </w:rPr>
              <w:t>电池连接线：</w:t>
            </w:r>
            <w:r>
              <w:rPr>
                <w:rFonts w:hint="eastAsia" w:asciiTheme="majorEastAsia" w:hAnsiTheme="majorEastAsia" w:eastAsiaTheme="majorEastAsia" w:cstheme="majorEastAsia"/>
                <w:bCs/>
                <w:color w:val="auto"/>
                <w:sz w:val="24"/>
                <w:szCs w:val="24"/>
              </w:rPr>
              <w:t>根据电池组配置选用适配规格的铜排连接，确保导电良好，铜排两端需标明正负极。</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评审项68</w:t>
            </w:r>
            <w:r>
              <w:rPr>
                <w:rFonts w:hint="eastAsia" w:asciiTheme="majorEastAsia" w:hAnsiTheme="majorEastAsia" w:eastAsiaTheme="majorEastAsia" w:cstheme="majorEastAsia"/>
                <w:color w:val="auto"/>
                <w:sz w:val="24"/>
                <w:szCs w:val="24"/>
                <w:lang w:eastAsia="zh-CN"/>
                <w14:ligatures w14:val="standardContextual"/>
              </w:rPr>
              <w:t>）</w:t>
            </w:r>
          </w:p>
          <w:p w14:paraId="026D6320">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6</w:t>
            </w: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color w:val="auto"/>
                <w:sz w:val="24"/>
                <w:szCs w:val="24"/>
              </w:rPr>
              <w:t>电池输出线：</w:t>
            </w:r>
            <w:r>
              <w:rPr>
                <w:rFonts w:hint="eastAsia" w:asciiTheme="majorEastAsia" w:hAnsiTheme="majorEastAsia" w:eastAsiaTheme="majorEastAsia" w:cstheme="majorEastAsia"/>
                <w:bCs/>
                <w:color w:val="auto"/>
                <w:sz w:val="24"/>
                <w:szCs w:val="24"/>
              </w:rPr>
              <w:t>长度约200米，采用低烟无卤阻燃电缆（WDZBN-YJY2*50）在槽内不扭曲、不交叉，冗余长度不超过 1 米。</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评审项69</w:t>
            </w:r>
            <w:r>
              <w:rPr>
                <w:rFonts w:hint="eastAsia" w:asciiTheme="majorEastAsia" w:hAnsiTheme="majorEastAsia" w:eastAsiaTheme="majorEastAsia" w:cstheme="majorEastAsia"/>
                <w:color w:val="auto"/>
                <w:sz w:val="24"/>
                <w:szCs w:val="24"/>
                <w:lang w:eastAsia="zh-CN"/>
                <w14:ligatures w14:val="standardContextual"/>
              </w:rPr>
              <w:t>）</w:t>
            </w:r>
          </w:p>
          <w:p w14:paraId="47D692F9">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b/>
                <w:bCs/>
                <w:color w:val="auto"/>
                <w:sz w:val="24"/>
                <w:szCs w:val="24"/>
              </w:rPr>
            </w:pPr>
            <w:r>
              <w:rPr>
                <w:rFonts w:hint="eastAsia" w:asciiTheme="majorEastAsia" w:hAnsiTheme="majorEastAsia" w:eastAsiaTheme="majorEastAsia" w:cstheme="majorEastAsia"/>
                <w:b/>
                <w:bCs/>
                <w:color w:val="auto"/>
                <w:sz w:val="24"/>
                <w:szCs w:val="24"/>
                <w:lang w:val="en-US" w:eastAsia="zh-CN"/>
              </w:rPr>
              <w:t>3、</w:t>
            </w:r>
            <w:r>
              <w:rPr>
                <w:rFonts w:hint="eastAsia" w:asciiTheme="majorEastAsia" w:hAnsiTheme="majorEastAsia" w:eastAsiaTheme="majorEastAsia" w:cstheme="majorEastAsia"/>
                <w:b/>
                <w:bCs/>
                <w:color w:val="auto"/>
                <w:sz w:val="24"/>
                <w:szCs w:val="24"/>
              </w:rPr>
              <w:t>配电柜要求：</w:t>
            </w:r>
            <w:r>
              <w:rPr>
                <w:rFonts w:hint="eastAsia" w:asciiTheme="majorEastAsia" w:hAnsiTheme="majorEastAsia" w:eastAsiaTheme="majorEastAsia" w:cstheme="majorEastAsia"/>
                <w:color w:val="auto"/>
                <w:sz w:val="24"/>
                <w:szCs w:val="24"/>
                <w:lang w:eastAsia="zh-CN"/>
                <w14:ligatures w14:val="standardContextual"/>
              </w:rPr>
              <w:t>（</w:t>
            </w:r>
            <w:r>
              <w:rPr>
                <w:rFonts w:hint="eastAsia" w:asciiTheme="majorEastAsia" w:hAnsiTheme="majorEastAsia" w:eastAsiaTheme="majorEastAsia" w:cstheme="majorEastAsia"/>
                <w:color w:val="auto"/>
                <w:sz w:val="24"/>
                <w:szCs w:val="24"/>
                <w:lang w:val="en-US" w:eastAsia="zh-CN"/>
                <w14:ligatures w14:val="standardContextual"/>
              </w:rPr>
              <w:t>评审项70</w:t>
            </w:r>
            <w:r>
              <w:rPr>
                <w:rFonts w:hint="eastAsia" w:asciiTheme="majorEastAsia" w:hAnsiTheme="majorEastAsia" w:eastAsiaTheme="majorEastAsia" w:cstheme="majorEastAsia"/>
                <w:color w:val="auto"/>
                <w:sz w:val="24"/>
                <w:szCs w:val="24"/>
                <w:lang w:eastAsia="zh-CN"/>
                <w14:ligatures w14:val="standardContextual"/>
              </w:rPr>
              <w:t>）</w:t>
            </w:r>
          </w:p>
          <w:p w14:paraId="7E18600A">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（1）容量与材质：</w:t>
            </w:r>
            <w:r>
              <w:rPr>
                <w:rFonts w:hint="eastAsia" w:asciiTheme="majorEastAsia" w:hAnsiTheme="majorEastAsia" w:eastAsiaTheme="majorEastAsia" w:cstheme="majorEastAsia"/>
                <w:color w:val="auto"/>
                <w:sz w:val="24"/>
                <w:szCs w:val="24"/>
              </w:rPr>
              <w:t>采用不小于2000×800×600mm的铁质配电箱（防护等级IP54），以容纳内部元器件。箱体需具备良好的防锈、防水防潮等性能，表面需做喷塑处理。</w:t>
            </w:r>
          </w:p>
          <w:p w14:paraId="51ECD240">
            <w:pPr>
              <w:keepNext w:val="0"/>
              <w:keepLines w:val="0"/>
              <w:pageBreakBefore w:val="0"/>
              <w:kinsoku/>
              <w:wordWrap/>
              <w:overflowPunct/>
              <w:topLinePunct w:val="0"/>
              <w:autoSpaceDE/>
              <w:autoSpaceDN/>
              <w:bidi w:val="0"/>
              <w:spacing w:line="360" w:lineRule="atLeast"/>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b/>
                <w:bCs/>
                <w:color w:val="auto"/>
                <w:sz w:val="24"/>
                <w:szCs w:val="24"/>
              </w:rPr>
              <w:t>（</w:t>
            </w:r>
            <w:r>
              <w:rPr>
                <w:rFonts w:hint="eastAsia" w:asciiTheme="majorEastAsia" w:hAnsiTheme="majorEastAsia" w:eastAsiaTheme="majorEastAsia" w:cstheme="majorEastAsia"/>
                <w:b/>
                <w:bCs/>
                <w:color w:val="auto"/>
                <w:sz w:val="24"/>
                <w:szCs w:val="24"/>
                <w:lang w:val="en-US" w:eastAsia="zh-CN"/>
              </w:rPr>
              <w:t>2</w:t>
            </w:r>
            <w:r>
              <w:rPr>
                <w:rFonts w:hint="eastAsia" w:asciiTheme="majorEastAsia" w:hAnsiTheme="majorEastAsia" w:eastAsiaTheme="majorEastAsia" w:cstheme="majorEastAsia"/>
                <w:b/>
                <w:bCs/>
                <w:color w:val="auto"/>
                <w:sz w:val="24"/>
                <w:szCs w:val="24"/>
              </w:rPr>
              <w:t>）内部配置：</w:t>
            </w:r>
            <w:r>
              <w:rPr>
                <w:rFonts w:hint="eastAsia" w:asciiTheme="majorEastAsia" w:hAnsiTheme="majorEastAsia" w:eastAsiaTheme="majorEastAsia" w:cstheme="majorEastAsia"/>
                <w:color w:val="auto"/>
                <w:sz w:val="24"/>
                <w:szCs w:val="24"/>
              </w:rPr>
              <w:t>配置满足配电需求，总闸不低于160A，所有断路器需为同一品牌正品，具备3C认证。内部需设置独立的N线汇流排和PE线汇流排（注：需要带消防强切功能）。</w:t>
            </w:r>
          </w:p>
        </w:tc>
      </w:tr>
    </w:tbl>
    <w:p w14:paraId="370C1A5E">
      <w:pPr>
        <w:pStyle w:val="16"/>
        <w:jc w:val="both"/>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三、商务要求（以“★”标示的内容为不允许负偏离的实质性要求）</w:t>
      </w:r>
    </w:p>
    <w:p w14:paraId="45687199">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1"/>
        <w:tblW w:w="497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3"/>
        <w:gridCol w:w="1337"/>
        <w:gridCol w:w="1900"/>
        <w:gridCol w:w="5021"/>
      </w:tblGrid>
      <w:tr w14:paraId="10D037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7" w:hRule="atLeast"/>
        </w:trPr>
        <w:tc>
          <w:tcPr>
            <w:tcW w:w="408" w:type="pct"/>
            <w:vAlign w:val="center"/>
          </w:tcPr>
          <w:p w14:paraId="49E34370">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743" w:type="pct"/>
            <w:vAlign w:val="center"/>
          </w:tcPr>
          <w:p w14:paraId="2CA8F864">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参数性质</w:t>
            </w:r>
          </w:p>
        </w:tc>
        <w:tc>
          <w:tcPr>
            <w:tcW w:w="1056" w:type="pct"/>
            <w:vAlign w:val="center"/>
          </w:tcPr>
          <w:p w14:paraId="416AB0BB">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类型</w:t>
            </w:r>
          </w:p>
        </w:tc>
        <w:tc>
          <w:tcPr>
            <w:tcW w:w="2791" w:type="pct"/>
            <w:vAlign w:val="center"/>
          </w:tcPr>
          <w:p w14:paraId="7BE7D5B3">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要求</w:t>
            </w:r>
          </w:p>
        </w:tc>
      </w:tr>
      <w:tr w14:paraId="0DE25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46" w:hRule="atLeast"/>
        </w:trPr>
        <w:tc>
          <w:tcPr>
            <w:tcW w:w="408" w:type="pct"/>
            <w:vAlign w:val="center"/>
          </w:tcPr>
          <w:p w14:paraId="7739FB3B">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743" w:type="pct"/>
            <w:vAlign w:val="center"/>
          </w:tcPr>
          <w:p w14:paraId="4CF7E393">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01CC50DB">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交货时间</w:t>
            </w:r>
          </w:p>
        </w:tc>
        <w:tc>
          <w:tcPr>
            <w:tcW w:w="2791" w:type="pct"/>
            <w:vAlign w:val="center"/>
          </w:tcPr>
          <w:p w14:paraId="3CF87A25">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在签订合同</w:t>
            </w:r>
            <w:r>
              <w:rPr>
                <w:rFonts w:hint="eastAsia" w:ascii="宋体" w:hAnsi="宋体" w:eastAsia="宋体" w:cs="宋体"/>
                <w:color w:val="auto"/>
                <w:sz w:val="24"/>
                <w:szCs w:val="24"/>
                <w:lang w:val="en-US" w:eastAsia="zh-CN"/>
              </w:rPr>
              <w:t>后</w:t>
            </w:r>
            <w:r>
              <w:rPr>
                <w:rFonts w:hint="eastAsia" w:ascii="宋体" w:hAnsi="宋体" w:eastAsia="宋体" w:cs="宋体"/>
                <w:color w:val="auto"/>
                <w:sz w:val="24"/>
                <w:szCs w:val="24"/>
              </w:rPr>
              <w:t>并收到预付款后12个月内交货</w:t>
            </w:r>
          </w:p>
        </w:tc>
      </w:tr>
      <w:tr w14:paraId="65EEB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6" w:hRule="atLeast"/>
        </w:trPr>
        <w:tc>
          <w:tcPr>
            <w:tcW w:w="408" w:type="pct"/>
            <w:vAlign w:val="center"/>
          </w:tcPr>
          <w:p w14:paraId="3BE9CEBF">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743" w:type="pct"/>
            <w:vAlign w:val="center"/>
          </w:tcPr>
          <w:p w14:paraId="63691232">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3F121B83">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交货地点</w:t>
            </w:r>
          </w:p>
        </w:tc>
        <w:tc>
          <w:tcPr>
            <w:tcW w:w="2791" w:type="pct"/>
            <w:vAlign w:val="center"/>
          </w:tcPr>
          <w:p w14:paraId="79088CE1">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福建省福州市鼓楼区江厝路15号福建省体育彩票管理中心或采购人指定地点</w:t>
            </w:r>
          </w:p>
        </w:tc>
      </w:tr>
      <w:tr w14:paraId="406B0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2" w:hRule="atLeast"/>
        </w:trPr>
        <w:tc>
          <w:tcPr>
            <w:tcW w:w="408" w:type="pct"/>
            <w:vAlign w:val="center"/>
          </w:tcPr>
          <w:p w14:paraId="59AEA869">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743" w:type="pct"/>
            <w:vAlign w:val="center"/>
          </w:tcPr>
          <w:p w14:paraId="0FBAD103">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77CC9A0D">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交货条件</w:t>
            </w:r>
          </w:p>
        </w:tc>
        <w:tc>
          <w:tcPr>
            <w:tcW w:w="2791" w:type="pct"/>
            <w:vAlign w:val="center"/>
          </w:tcPr>
          <w:p w14:paraId="57FC5207">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到货并安装、验收合格后交付</w:t>
            </w:r>
          </w:p>
        </w:tc>
      </w:tr>
      <w:tr w14:paraId="642BB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8" w:type="pct"/>
            <w:vAlign w:val="center"/>
          </w:tcPr>
          <w:p w14:paraId="322F5E5C">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743" w:type="pct"/>
            <w:vAlign w:val="center"/>
          </w:tcPr>
          <w:p w14:paraId="074BB976">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17489AEB">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是否邀请投标人验收</w:t>
            </w:r>
          </w:p>
        </w:tc>
        <w:tc>
          <w:tcPr>
            <w:tcW w:w="2791" w:type="pct"/>
            <w:vAlign w:val="center"/>
          </w:tcPr>
          <w:p w14:paraId="68CDA585">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rPr>
              <w:t>不邀请投标人验收</w:t>
            </w:r>
          </w:p>
        </w:tc>
      </w:tr>
      <w:tr w14:paraId="56306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8" w:type="pct"/>
            <w:vAlign w:val="center"/>
          </w:tcPr>
          <w:p w14:paraId="4C41AC2A">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743" w:type="pct"/>
            <w:vAlign w:val="center"/>
          </w:tcPr>
          <w:p w14:paraId="4CC1D754">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4D9D78CB">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履约验收方式</w:t>
            </w:r>
          </w:p>
        </w:tc>
        <w:tc>
          <w:tcPr>
            <w:tcW w:w="2791" w:type="pct"/>
            <w:vAlign w:val="top"/>
          </w:tcPr>
          <w:p w14:paraId="06222E72">
            <w:pPr>
              <w:pStyle w:val="16"/>
              <w:keepNext w:val="0"/>
              <w:keepLines w:val="0"/>
              <w:pageBreakBefore w:val="0"/>
              <w:numPr>
                <w:ilvl w:val="0"/>
                <w:numId w:val="1"/>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期次1，说明：</w:t>
            </w:r>
            <w:r>
              <w:rPr>
                <w:rFonts w:hint="eastAsia" w:ascii="宋体" w:hAnsi="宋体" w:eastAsia="宋体" w:cs="宋体"/>
                <w:color w:val="auto"/>
                <w:sz w:val="24"/>
                <w:szCs w:val="24"/>
                <w:highlight w:val="none"/>
                <w:lang w:val="en-US" w:eastAsia="zh-CN"/>
              </w:rPr>
              <w:t>验收时间：</w:t>
            </w:r>
            <w:r>
              <w:rPr>
                <w:rFonts w:hint="eastAsia" w:ascii="宋体" w:hAnsi="宋体" w:eastAsia="宋体" w:cs="宋体"/>
                <w:color w:val="auto"/>
                <w:sz w:val="24"/>
                <w:szCs w:val="24"/>
                <w:highlight w:val="none"/>
              </w:rPr>
              <w:t>配套设施安装完成后，摇奖设备到货前（收到</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配套设施安装完成验收申请后5个工作日内）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核心验收标准</w:t>
            </w:r>
            <w:r>
              <w:rPr>
                <w:rFonts w:hint="eastAsia" w:ascii="宋体" w:hAnsi="宋体" w:eastAsia="宋体" w:cs="宋体"/>
                <w:color w:val="auto"/>
                <w:sz w:val="24"/>
                <w:szCs w:val="24"/>
                <w:highlight w:val="none"/>
                <w:lang w:eastAsia="zh-CN"/>
              </w:rPr>
              <w:t>：严格对照招标文件中所有技术参数、实质性要求（★项）及非实质性要求，核查配套设施（电力、UPS、消防、监控、空调系统等）的建设与配置是否全部符合；</w:t>
            </w:r>
          </w:p>
          <w:p w14:paraId="3E724201">
            <w:pPr>
              <w:pStyle w:val="16"/>
              <w:keepNext w:val="0"/>
              <w:keepLines w:val="0"/>
              <w:pageBreakBefore w:val="0"/>
              <w:numPr>
                <w:ilvl w:val="0"/>
                <w:numId w:val="1"/>
              </w:numPr>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期次</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，说明：</w:t>
            </w:r>
            <w:r>
              <w:rPr>
                <w:rFonts w:hint="eastAsia" w:ascii="宋体" w:hAnsi="宋体" w:eastAsia="宋体" w:cs="宋体"/>
                <w:color w:val="auto"/>
                <w:sz w:val="24"/>
                <w:szCs w:val="24"/>
                <w:highlight w:val="none"/>
                <w:lang w:val="en-US" w:eastAsia="zh-CN"/>
              </w:rPr>
              <w:t>验收时间：</w:t>
            </w:r>
            <w:r>
              <w:rPr>
                <w:rFonts w:hint="eastAsia" w:ascii="宋体" w:hAnsi="宋体" w:eastAsia="宋体" w:cs="宋体"/>
                <w:color w:val="auto"/>
                <w:sz w:val="24"/>
                <w:szCs w:val="24"/>
                <w:highlight w:val="none"/>
              </w:rPr>
              <w:t>摇奖设备、摇奖球及所有配件到货后，安装调试前（货物送达指定地点后3个工作日内）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核心验收标准</w:t>
            </w:r>
            <w:r>
              <w:rPr>
                <w:rFonts w:hint="eastAsia" w:ascii="宋体" w:hAnsi="宋体" w:eastAsia="宋体" w:cs="宋体"/>
                <w:color w:val="auto"/>
                <w:sz w:val="24"/>
                <w:szCs w:val="24"/>
                <w:highlight w:val="none"/>
                <w:lang w:eastAsia="zh-CN"/>
              </w:rPr>
              <w:t>：核查摇奖机（36选7/31选7/22选5主备机、灾备机）、摇奖球、专用工具、配件等货物的种类、数量、型号是否与清单完全一致；</w:t>
            </w:r>
          </w:p>
          <w:p w14:paraId="4E739C2A">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期次</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，说明：</w:t>
            </w:r>
            <w:r>
              <w:rPr>
                <w:rFonts w:hint="eastAsia" w:ascii="宋体" w:hAnsi="宋体" w:eastAsia="宋体" w:cs="宋体"/>
                <w:color w:val="auto"/>
                <w:sz w:val="24"/>
                <w:szCs w:val="24"/>
                <w:highlight w:val="none"/>
                <w:lang w:val="en-US" w:eastAsia="zh-CN"/>
              </w:rPr>
              <w:t>验收时间：</w:t>
            </w:r>
            <w:r>
              <w:rPr>
                <w:rFonts w:hint="eastAsia" w:ascii="宋体" w:hAnsi="宋体" w:eastAsia="宋体" w:cs="宋体"/>
                <w:color w:val="auto"/>
                <w:sz w:val="24"/>
                <w:szCs w:val="24"/>
                <w:highlight w:val="none"/>
              </w:rPr>
              <w:t>摇奖设备、摇奖球及配件安装调试完成并完成培训和技术资料提交后（</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提交整体验收申请后7个工作日内）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核心验收标准</w:t>
            </w:r>
            <w:r>
              <w:rPr>
                <w:rFonts w:hint="eastAsia" w:ascii="宋体" w:hAnsi="宋体" w:eastAsia="宋体" w:cs="宋体"/>
                <w:color w:val="auto"/>
                <w:sz w:val="24"/>
                <w:szCs w:val="24"/>
                <w:highlight w:val="none"/>
                <w:lang w:eastAsia="zh-CN"/>
              </w:rPr>
              <w:t>：摇奖机安装调试后，各项功能（遥控/电脑控制、全自动/手动操作、远程可视化、TCP/IP通信等）运行正常，符合标书要求；</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lang w:eastAsia="zh-CN"/>
              </w:rPr>
              <w:t>已按要求完成对甲方操作人员的专业培训（摇奖机操作、日常清洁、简单故障排查等）；</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lang w:eastAsia="zh-CN"/>
              </w:rPr>
              <w:t>方提供的技术资料完整、规范，包括产品说明书、用户手册、维修手册、检测报告等，所有英制单位已转换为公制单位。</w:t>
            </w:r>
          </w:p>
        </w:tc>
      </w:tr>
      <w:tr w14:paraId="349A5E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8" w:type="pct"/>
            <w:vAlign w:val="center"/>
          </w:tcPr>
          <w:p w14:paraId="1C7296AA">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743" w:type="pct"/>
            <w:vAlign w:val="center"/>
          </w:tcPr>
          <w:p w14:paraId="05CC31F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5DE3DEF8">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合同支付方式</w:t>
            </w:r>
          </w:p>
        </w:tc>
        <w:tc>
          <w:tcPr>
            <w:tcW w:w="2791" w:type="pct"/>
            <w:vAlign w:val="top"/>
          </w:tcPr>
          <w:p w14:paraId="11354926">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bidi="ar-SA"/>
              </w:rPr>
              <w:t>1、</w:t>
            </w:r>
            <w:r>
              <w:rPr>
                <w:rFonts w:hint="eastAsia" w:ascii="宋体" w:hAnsi="宋体" w:eastAsia="宋体" w:cs="宋体"/>
                <w:color w:val="auto"/>
                <w:sz w:val="24"/>
                <w:szCs w:val="24"/>
              </w:rPr>
              <w:t>进度款，合同</w:t>
            </w:r>
            <w:r>
              <w:rPr>
                <w:rFonts w:hint="eastAsia" w:ascii="宋体" w:hAnsi="宋体" w:eastAsia="宋体" w:cs="宋体"/>
                <w:color w:val="auto"/>
                <w:sz w:val="24"/>
                <w:szCs w:val="24"/>
                <w:lang w:val="en-US" w:eastAsia="zh-CN"/>
              </w:rPr>
              <w:t>签订后7天内，中标人向采购人开具等额发票，</w:t>
            </w:r>
            <w:r>
              <w:rPr>
                <w:rFonts w:hint="eastAsia" w:ascii="宋体" w:hAnsi="宋体" w:eastAsia="宋体" w:cs="宋体"/>
                <w:color w:val="auto"/>
                <w:sz w:val="24"/>
                <w:szCs w:val="24"/>
              </w:rPr>
              <w:t>达到付款条件起30日内，支付合同总金额的1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.00%</w:t>
            </w:r>
          </w:p>
          <w:p w14:paraId="6F51CD61">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bidi="ar-SA"/>
              </w:rPr>
              <w:t>2、</w:t>
            </w:r>
            <w:r>
              <w:rPr>
                <w:rFonts w:hint="eastAsia" w:ascii="宋体" w:hAnsi="宋体" w:eastAsia="宋体" w:cs="宋体"/>
                <w:color w:val="auto"/>
                <w:sz w:val="24"/>
                <w:szCs w:val="24"/>
              </w:rPr>
              <w:t>进度款，完成配套设施安装并经</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验收合格后</w:t>
            </w:r>
            <w:r>
              <w:rPr>
                <w:rFonts w:hint="eastAsia" w:ascii="宋体" w:hAnsi="宋体" w:eastAsia="宋体" w:cs="宋体"/>
                <w:color w:val="auto"/>
                <w:sz w:val="24"/>
                <w:szCs w:val="24"/>
                <w:lang w:val="en-US" w:eastAsia="zh-CN"/>
              </w:rPr>
              <w:t>，中标人向采购人开具等额发票，</w:t>
            </w:r>
            <w:r>
              <w:rPr>
                <w:rFonts w:hint="eastAsia" w:ascii="宋体" w:hAnsi="宋体" w:eastAsia="宋体" w:cs="宋体"/>
                <w:color w:val="auto"/>
                <w:sz w:val="24"/>
                <w:szCs w:val="24"/>
              </w:rPr>
              <w:t>达到付款条件起30日内，支付合同总金额的</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.00%</w:t>
            </w:r>
          </w:p>
          <w:p w14:paraId="52CD3986">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bidi="ar-SA"/>
              </w:rPr>
              <w:t>3、</w:t>
            </w:r>
            <w:r>
              <w:rPr>
                <w:rFonts w:hint="eastAsia" w:ascii="宋体" w:hAnsi="宋体" w:eastAsia="宋体" w:cs="宋体"/>
                <w:color w:val="auto"/>
                <w:sz w:val="24"/>
                <w:szCs w:val="24"/>
              </w:rPr>
              <w:t>进度款，摇奖设备生产完毕、发货前</w:t>
            </w:r>
            <w:r>
              <w:rPr>
                <w:rFonts w:hint="eastAsia" w:ascii="宋体" w:hAnsi="宋体" w:eastAsia="宋体" w:cs="宋体"/>
                <w:color w:val="auto"/>
                <w:sz w:val="24"/>
                <w:szCs w:val="24"/>
                <w:lang w:val="en-US" w:eastAsia="zh-CN"/>
              </w:rPr>
              <w:t>，中标人向采购人开具等额发票，</w:t>
            </w:r>
            <w:r>
              <w:rPr>
                <w:rFonts w:hint="eastAsia" w:ascii="宋体" w:hAnsi="宋体" w:eastAsia="宋体" w:cs="宋体"/>
                <w:color w:val="auto"/>
                <w:sz w:val="24"/>
                <w:szCs w:val="24"/>
              </w:rPr>
              <w:t>达到付款条件起30日内，支付合同总金额的</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rPr>
              <w:t>.00%</w:t>
            </w:r>
          </w:p>
          <w:p w14:paraId="18CBB172">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bidi="ar-SA"/>
              </w:rPr>
              <w:t>4、</w:t>
            </w:r>
            <w:r>
              <w:rPr>
                <w:rFonts w:hint="eastAsia" w:ascii="宋体" w:hAnsi="宋体" w:eastAsia="宋体" w:cs="宋体"/>
                <w:color w:val="auto"/>
                <w:sz w:val="24"/>
                <w:szCs w:val="24"/>
              </w:rPr>
              <w:t>进度款，合同设备实际交货并经</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验收合格后7天内</w:t>
            </w:r>
            <w:r>
              <w:rPr>
                <w:rFonts w:hint="eastAsia" w:ascii="宋体" w:hAnsi="宋体" w:eastAsia="宋体" w:cs="宋体"/>
                <w:color w:val="auto"/>
                <w:sz w:val="24"/>
                <w:szCs w:val="24"/>
                <w:lang w:val="en-US" w:eastAsia="zh-CN"/>
              </w:rPr>
              <w:t>，中标人向采购人开具等额发票，</w:t>
            </w:r>
            <w:r>
              <w:rPr>
                <w:rFonts w:hint="eastAsia" w:ascii="宋体" w:hAnsi="宋体" w:eastAsia="宋体" w:cs="宋体"/>
                <w:color w:val="auto"/>
                <w:sz w:val="24"/>
                <w:szCs w:val="24"/>
              </w:rPr>
              <w:t>达到付款条件起30日内，支付合同总金额的</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.00%</w:t>
            </w:r>
          </w:p>
        </w:tc>
      </w:tr>
      <w:tr w14:paraId="1C3AB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2" w:hRule="atLeast"/>
        </w:trPr>
        <w:tc>
          <w:tcPr>
            <w:tcW w:w="408" w:type="pct"/>
            <w:vAlign w:val="center"/>
          </w:tcPr>
          <w:p w14:paraId="7C57E9FA">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743" w:type="pct"/>
            <w:vAlign w:val="center"/>
          </w:tcPr>
          <w:p w14:paraId="03543ABD">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2DE20E24">
            <w:pPr>
              <w:pStyle w:val="16"/>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履约保证金</w:t>
            </w:r>
          </w:p>
        </w:tc>
        <w:tc>
          <w:tcPr>
            <w:tcW w:w="2791" w:type="pct"/>
            <w:vAlign w:val="top"/>
          </w:tcPr>
          <w:p w14:paraId="696AD64D">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 本采购包履约保证金为合同金额的5%</w:t>
            </w:r>
          </w:p>
          <w:p w14:paraId="6AC1A902">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缴纳方式：银行转账，支票/汇票/本票，保函/保险</w:t>
            </w:r>
          </w:p>
          <w:p w14:paraId="672DE80F">
            <w:pPr>
              <w:pStyle w:val="16"/>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auto"/>
                <w:sz w:val="24"/>
                <w:szCs w:val="24"/>
                <w:highlight w:val="none"/>
              </w:rPr>
            </w:pPr>
            <w:r>
              <w:rPr>
                <w:rFonts w:hint="eastAsia" w:ascii="宋体" w:hAnsi="宋体" w:eastAsia="宋体" w:cs="宋体"/>
                <w:color w:val="auto"/>
                <w:sz w:val="24"/>
                <w:szCs w:val="24"/>
              </w:rPr>
              <w:t>说明：中标人在合同签订前以银行转账、支票、银行无条件支付保函等非现金形式向采购人支付合同总金额的5%作为履约保证金，如果是以保函形式缴纳履约保证金的，中标人必须开具见索即付(无条件支付)银行保函，且保函有效期必须涵盖维保期满，如中标人未按合同有关规定行其义务，采购人有权扣除履约保证金，用以补偿。约保证金在合同约定全部事项履行完毕，经采购人确认双方无未了事项后，采购人在收到中标人书面申请后30日内无息退还。</w:t>
            </w:r>
          </w:p>
        </w:tc>
      </w:tr>
      <w:tr w14:paraId="06C45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08" w:type="pct"/>
            <w:vAlign w:val="center"/>
          </w:tcPr>
          <w:p w14:paraId="292AF7C3">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743" w:type="pct"/>
            <w:vAlign w:val="center"/>
          </w:tcPr>
          <w:p w14:paraId="4D22A8AC">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eastAsia="宋体" w:cs="宋体"/>
                <w:color w:val="auto"/>
                <w:sz w:val="24"/>
                <w:highlight w:val="none"/>
              </w:rPr>
            </w:pPr>
            <w:r>
              <w:rPr>
                <w:rFonts w:hint="eastAsia" w:ascii="宋体" w:hAnsi="宋体" w:eastAsia="宋体" w:cs="宋体"/>
                <w:bCs/>
                <w:color w:val="auto"/>
                <w:sz w:val="24"/>
                <w:highlight w:val="none"/>
              </w:rPr>
              <w:t>★</w:t>
            </w:r>
          </w:p>
        </w:tc>
        <w:tc>
          <w:tcPr>
            <w:tcW w:w="1056" w:type="pct"/>
            <w:vAlign w:val="center"/>
          </w:tcPr>
          <w:p w14:paraId="3680068F">
            <w:pPr>
              <w:pStyle w:val="16"/>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其他</w:t>
            </w:r>
          </w:p>
        </w:tc>
        <w:tc>
          <w:tcPr>
            <w:tcW w:w="2791" w:type="pct"/>
            <w:vAlign w:val="top"/>
          </w:tcPr>
          <w:p w14:paraId="272A2910">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因系统模版固定，合同支付方式以本</w:t>
            </w:r>
            <w:r>
              <w:rPr>
                <w:rFonts w:hint="eastAsia" w:ascii="宋体" w:hAnsi="宋体" w:eastAsia="宋体" w:cs="宋体"/>
                <w:color w:val="auto"/>
                <w:sz w:val="24"/>
                <w:szCs w:val="24"/>
                <w:lang w:val="en-US" w:eastAsia="zh-CN"/>
              </w:rPr>
              <w:t>项</w:t>
            </w:r>
            <w:r>
              <w:rPr>
                <w:rFonts w:ascii="宋体" w:hAnsi="宋体" w:eastAsia="宋体" w:cs="宋体"/>
                <w:color w:val="auto"/>
                <w:sz w:val="24"/>
                <w:szCs w:val="24"/>
              </w:rPr>
              <w:t>为准：</w:t>
            </w:r>
          </w:p>
          <w:p w14:paraId="1CA24325">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bidi="ar-SA"/>
              </w:rPr>
              <w:t>1、</w:t>
            </w:r>
            <w:r>
              <w:rPr>
                <w:rFonts w:hint="eastAsia" w:ascii="宋体" w:hAnsi="宋体" w:eastAsia="宋体" w:cs="宋体"/>
                <w:color w:val="auto"/>
                <w:sz w:val="24"/>
                <w:szCs w:val="24"/>
              </w:rPr>
              <w:t>合同</w:t>
            </w:r>
            <w:r>
              <w:rPr>
                <w:rFonts w:hint="eastAsia" w:ascii="宋体" w:hAnsi="宋体" w:eastAsia="宋体" w:cs="宋体"/>
                <w:color w:val="auto"/>
                <w:sz w:val="24"/>
                <w:szCs w:val="24"/>
                <w:lang w:val="en-US" w:eastAsia="zh-CN"/>
              </w:rPr>
              <w:t>签订后7天内，中标人向采购人开具总费用15%的预付款发票，采购人于合同签订后15个工作日内支付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bidi="ar-SA"/>
              </w:rPr>
              <w:t>2、中标人</w:t>
            </w:r>
            <w:r>
              <w:rPr>
                <w:rFonts w:hint="eastAsia" w:ascii="宋体" w:hAnsi="宋体" w:eastAsia="宋体" w:cs="宋体"/>
                <w:color w:val="auto"/>
                <w:sz w:val="24"/>
                <w:szCs w:val="24"/>
              </w:rPr>
              <w:t>完成配套设施安装并经</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验收合格后</w:t>
            </w:r>
            <w:r>
              <w:rPr>
                <w:rFonts w:hint="eastAsia" w:ascii="宋体" w:hAnsi="宋体" w:eastAsia="宋体" w:cs="宋体"/>
                <w:color w:val="auto"/>
                <w:sz w:val="24"/>
                <w:szCs w:val="24"/>
                <w:lang w:val="en-US" w:eastAsia="zh-CN"/>
              </w:rPr>
              <w:t>，中标人向采购人开具总费用40%的发票，采购人在收到发票后15个工作日内支付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bidi="ar-SA"/>
              </w:rPr>
              <w:t>3、</w:t>
            </w:r>
            <w:r>
              <w:rPr>
                <w:rFonts w:hint="eastAsia" w:ascii="宋体" w:hAnsi="宋体" w:eastAsia="宋体" w:cs="宋体"/>
                <w:color w:val="auto"/>
                <w:sz w:val="24"/>
                <w:szCs w:val="24"/>
              </w:rPr>
              <w:t>摇奖设备生产完毕、发货前</w:t>
            </w:r>
            <w:r>
              <w:rPr>
                <w:rFonts w:hint="eastAsia" w:ascii="宋体" w:hAnsi="宋体" w:eastAsia="宋体" w:cs="宋体"/>
                <w:color w:val="auto"/>
                <w:sz w:val="24"/>
                <w:szCs w:val="24"/>
                <w:lang w:val="en-US" w:eastAsia="zh-CN"/>
              </w:rPr>
              <w:t>，中标人向采购人开具总费用20%的发票，采购人在收到发票后15个工作日内支付</w:t>
            </w:r>
            <w:r>
              <w:rPr>
                <w:rFonts w:hint="eastAsia" w:ascii="宋体" w:hAnsi="宋体" w:eastAsia="宋体" w:cs="宋体"/>
                <w:color w:val="auto"/>
                <w:sz w:val="24"/>
                <w:szCs w:val="24"/>
                <w:lang w:eastAsia="zh-CN"/>
              </w:rPr>
              <w:t>；</w:t>
            </w:r>
          </w:p>
          <w:p w14:paraId="16966699">
            <w:pPr>
              <w:pStyle w:val="16"/>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合同设备实际交货并经</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验收合格后7天内</w:t>
            </w:r>
            <w:r>
              <w:rPr>
                <w:rFonts w:hint="eastAsia" w:ascii="宋体" w:hAnsi="宋体" w:eastAsia="宋体" w:cs="宋体"/>
                <w:color w:val="auto"/>
                <w:sz w:val="24"/>
                <w:szCs w:val="24"/>
                <w:lang w:val="en-US" w:eastAsia="zh-CN"/>
              </w:rPr>
              <w:t>，中标人向采购人开具总费用25%的发票，</w:t>
            </w:r>
            <w:r>
              <w:rPr>
                <w:rFonts w:hint="eastAsia" w:ascii="宋体" w:hAnsi="宋体" w:eastAsia="宋体" w:cs="宋体"/>
                <w:color w:val="auto"/>
                <w:sz w:val="24"/>
                <w:szCs w:val="24"/>
              </w:rPr>
              <w:t>采购人在收到发票后15个工作日内支付</w:t>
            </w:r>
            <w:r>
              <w:rPr>
                <w:rFonts w:hint="eastAsia" w:ascii="宋体" w:hAnsi="宋体" w:eastAsia="宋体" w:cs="宋体"/>
                <w:color w:val="auto"/>
                <w:sz w:val="24"/>
                <w:szCs w:val="24"/>
                <w:lang w:eastAsia="zh-CN"/>
              </w:rPr>
              <w:t>。</w:t>
            </w:r>
          </w:p>
        </w:tc>
      </w:tr>
    </w:tbl>
    <w:p w14:paraId="7A46B586">
      <w:pPr>
        <w:pStyle w:val="16"/>
        <w:keepNext w:val="0"/>
        <w:keepLines w:val="0"/>
        <w:pageBreakBefore w:val="0"/>
        <w:kinsoku/>
        <w:wordWrap/>
        <w:overflowPunct/>
        <w:topLinePunct w:val="0"/>
        <w:autoSpaceDE/>
        <w:autoSpaceDN/>
        <w:bidi w:val="0"/>
        <w:adjustRightInd/>
        <w:snapToGrid/>
        <w:spacing w:line="360" w:lineRule="atLeas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其他商务要求</w:t>
      </w:r>
    </w:p>
    <w:p w14:paraId="0E96895F">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b/>
          <w:bCs/>
          <w:color w:val="auto"/>
          <w:sz w:val="24"/>
          <w:highlight w:val="none"/>
          <w:lang w:val="en-US" w:eastAsia="zh-Hans"/>
        </w:rPr>
      </w:pPr>
      <w:r>
        <w:rPr>
          <w:rFonts w:hint="eastAsia" w:ascii="宋体" w:hAnsi="宋体" w:eastAsia="宋体" w:cs="宋体"/>
          <w:b/>
          <w:bCs/>
          <w:color w:val="auto"/>
          <w:sz w:val="24"/>
          <w:highlight w:val="none"/>
          <w:lang w:val="en-US" w:eastAsia="zh-CN"/>
        </w:rPr>
        <w:t>9、</w:t>
      </w:r>
      <w:r>
        <w:rPr>
          <w:rFonts w:hint="eastAsia" w:ascii="宋体" w:hAnsi="宋体" w:eastAsia="宋体" w:cs="宋体"/>
          <w:b/>
          <w:bCs/>
          <w:color w:val="auto"/>
          <w:sz w:val="24"/>
          <w:highlight w:val="none"/>
          <w:lang w:val="en-US" w:eastAsia="zh-Hans"/>
        </w:rPr>
        <w:t>执行的国家相关标准、行业标准或者其他标准、规范</w:t>
      </w:r>
    </w:p>
    <w:p w14:paraId="29FF3F30">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b/>
          <w:bCs/>
          <w:color w:val="auto"/>
          <w:sz w:val="24"/>
          <w:highlight w:val="none"/>
          <w:lang w:val="en-US" w:eastAsia="zh-Hans"/>
        </w:rPr>
      </w:pPr>
      <w:r>
        <w:rPr>
          <w:rFonts w:hint="eastAsia" w:ascii="宋体" w:hAnsi="宋体" w:eastAsia="宋体" w:cs="宋体"/>
          <w:b/>
          <w:bCs/>
          <w:color w:val="auto"/>
          <w:sz w:val="24"/>
          <w:highlight w:val="none"/>
          <w:lang w:val="en-US" w:eastAsia="zh-Hans"/>
        </w:rPr>
        <w:t>投标人须提供所供产品在安全、随机性方面的相关证明文件（第三方检测机构或实验室出具的相关报告或官方出具的证明，报告或证明为外文的应同步提供中文译文）。</w:t>
      </w:r>
    </w:p>
    <w:p w14:paraId="1131BE4B">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b/>
          <w:bCs/>
          <w:color w:val="auto"/>
          <w:sz w:val="24"/>
          <w:lang w:val="en-US" w:eastAsia="zh-Hans"/>
        </w:rPr>
      </w:pPr>
      <w:r>
        <w:rPr>
          <w:rFonts w:hint="eastAsia" w:ascii="宋体" w:hAnsi="宋体" w:eastAsia="宋体" w:cs="宋体"/>
          <w:b/>
          <w:bCs/>
          <w:color w:val="auto"/>
          <w:sz w:val="24"/>
          <w:lang w:val="en-US" w:eastAsia="zh-CN"/>
        </w:rPr>
        <w:t>10、</w:t>
      </w:r>
      <w:r>
        <w:rPr>
          <w:rFonts w:hint="eastAsia" w:ascii="宋体" w:hAnsi="宋体" w:eastAsia="宋体" w:cs="宋体"/>
          <w:b/>
          <w:bCs/>
          <w:color w:val="auto"/>
          <w:sz w:val="24"/>
          <w:lang w:val="en-US" w:eastAsia="zh-Hans"/>
        </w:rPr>
        <w:t>安装与调试</w:t>
      </w:r>
    </w:p>
    <w:p w14:paraId="0341C5B6">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.1 中标人应负责将设备初验收合格后，运至用户所在处并提供设备的免费安装调试。</w:t>
      </w:r>
    </w:p>
    <w:p w14:paraId="72E87DE6">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.2 中标人在设备安装前应派员进行实地勘察，设计安装调试方案，确保有关线路设计合理、运行可靠、维护方便。</w:t>
      </w:r>
    </w:p>
    <w:p w14:paraId="59687E55">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.3 中标人负责组织专业技术人员进行设备安装调试，用户应提供必须的基本条件和专人配合，保证各项安装工作顺利进行。</w:t>
      </w:r>
    </w:p>
    <w:p w14:paraId="2EA46F78">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.4 安装调试到位后的设备由中标人及用户共同进行质量验收签字。</w:t>
      </w:r>
    </w:p>
    <w:p w14:paraId="4BA5AFE6">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.5 设备验收前，中标人须提供完整的技术资料(包括产品说明书、用户手册、制造厂质量合格证书及其他相关文件资料)。</w:t>
      </w:r>
    </w:p>
    <w:p w14:paraId="1D90D950">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.6 中标人向用户提供安装和维修所需特殊专用的工具、备件及清单和中文说明书，其费用包括在投标价格内。</w:t>
      </w:r>
    </w:p>
    <w:p w14:paraId="36B89326">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.7 中标人在用户安装现场进行质量验收所发生的一切费用由中标人承担。</w:t>
      </w:r>
    </w:p>
    <w:p w14:paraId="60391397">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.8 中标人应提供免费培训和技术服务。</w:t>
      </w:r>
    </w:p>
    <w:p w14:paraId="6E3A3ED4">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10</w:t>
      </w:r>
      <w:r>
        <w:rPr>
          <w:rFonts w:hint="eastAsia" w:ascii="宋体" w:hAnsi="宋体" w:eastAsia="宋体" w:cs="宋体"/>
          <w:color w:val="auto"/>
          <w:sz w:val="24"/>
          <w:lang w:val="en-US" w:eastAsia="zh-Hans"/>
        </w:rPr>
        <w:t>.9 中标人须保障采购人在使用该货物或其任何一部分时不受到第三方关于侵犯专利权、商标权或工业设计权等知识产权方面的指控，如果任何第三方如果提出侵权指控与采购人无关，中标人须与第三方交涉并承担可能发生的责任与一切费用；如采购人因此而遭致损失的，中标人应赔偿该损失。</w:t>
      </w:r>
    </w:p>
    <w:p w14:paraId="4C904899">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b/>
          <w:bCs/>
          <w:color w:val="auto"/>
          <w:sz w:val="24"/>
          <w:lang w:val="en-US" w:eastAsia="zh-Hans"/>
        </w:rPr>
      </w:pPr>
      <w:r>
        <w:rPr>
          <w:rFonts w:hint="eastAsia" w:ascii="宋体" w:hAnsi="宋体" w:eastAsia="宋体" w:cs="宋体"/>
          <w:b/>
          <w:bCs/>
          <w:color w:val="auto"/>
          <w:sz w:val="24"/>
          <w:lang w:val="en-US" w:eastAsia="zh-CN"/>
        </w:rPr>
        <w:t>11、</w:t>
      </w:r>
      <w:r>
        <w:rPr>
          <w:rFonts w:hint="eastAsia" w:ascii="宋体" w:hAnsi="宋体" w:eastAsia="宋体" w:cs="宋体"/>
          <w:b/>
          <w:bCs/>
          <w:color w:val="auto"/>
          <w:sz w:val="24"/>
          <w:lang w:val="en-US" w:eastAsia="zh-Hans"/>
        </w:rPr>
        <w:t>售后服务</w:t>
      </w:r>
    </w:p>
    <w:p w14:paraId="49BF886F">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.1 中标人应对本项目所有货物需提供至少一年现场的免费保修期。保修期内需配备不少于2人的驻场工程师，为摇奖机的正常运行提供技术保障，驻场工程师须取得摇奖机生产厂商的专业认证。免费保修期自验收合格签名之日起计算。保修期内，须按合同条款提供免费服务，非因操作不当造成产品故障由</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负责包修、包换。</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在免费保修期内须提供免费上门维修服务，并进行终身维护。如保修期内同一故障发生三次，或在两个月内无法修复，</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无条件换货。免费保修期满前1个月内</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应负责对产品进行一次免费全面检查，如发现潜在问题，应负责排除，保证产品正常运行。</w:t>
      </w:r>
    </w:p>
    <w:p w14:paraId="09B87155">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.2 在保修期内，</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在接收采购人报修电话后8小时内电话响应，24小时内到达现场处理，若逾期不修理的，采购人有权聘请第三方维修，由此产生的维修费用由</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承担；期满后维护只收更换的零件费、运输费，并保证及时处理；在保修期内因产品质量问题返修所产生的运杂费由</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承担。</w:t>
      </w:r>
    </w:p>
    <w:p w14:paraId="2835F4BD">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 xml:space="preserve">.3 </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应在</w:t>
      </w:r>
      <w:r>
        <w:rPr>
          <w:rFonts w:hint="eastAsia" w:ascii="宋体" w:hAnsi="宋体" w:eastAsia="宋体" w:cs="宋体"/>
          <w:color w:val="auto"/>
          <w:sz w:val="24"/>
          <w:lang w:val="en-US" w:eastAsia="zh-CN"/>
        </w:rPr>
        <w:t>投标文件</w:t>
      </w:r>
      <w:r>
        <w:rPr>
          <w:rFonts w:hint="eastAsia" w:ascii="宋体" w:hAnsi="宋体" w:eastAsia="宋体" w:cs="宋体"/>
          <w:color w:val="auto"/>
          <w:sz w:val="24"/>
          <w:lang w:val="en-US" w:eastAsia="zh-Hans"/>
        </w:rPr>
        <w:t>详细提供售后服务承诺、保障措施、保养期内的维保范围和内容、保修期后的维保服务内容及售后服务承诺。</w:t>
      </w:r>
    </w:p>
    <w:p w14:paraId="1A428259">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.4 质量保证期结束后，</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应对所提供货物提供终身维修服务。</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作为设备使用地区具备维修能力的代理机构，须与采购人签署设备维护合同，定期对摇奖机进行维护、保养及修理；同时继续提供驻场工程师服务，为摇奖机的正常运行提供技术保障，驻场工程师须具备摇奖机生产厂商的专业认证。</w:t>
      </w:r>
    </w:p>
    <w:p w14:paraId="335AE541">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.5 如遇</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兼并或代理商不再代理该产品，</w:t>
      </w:r>
      <w:r>
        <w:rPr>
          <w:rFonts w:hint="eastAsia" w:ascii="宋体" w:hAnsi="宋体" w:eastAsia="宋体" w:cs="宋体"/>
          <w:color w:val="auto"/>
          <w:sz w:val="24"/>
          <w:lang w:val="en-US" w:eastAsia="zh-CN"/>
        </w:rPr>
        <w:t>中标人</w:t>
      </w:r>
      <w:r>
        <w:rPr>
          <w:rFonts w:hint="eastAsia" w:ascii="宋体" w:hAnsi="宋体" w:eastAsia="宋体" w:cs="宋体"/>
          <w:color w:val="auto"/>
          <w:sz w:val="24"/>
          <w:lang w:val="en-US" w:eastAsia="zh-Hans"/>
        </w:rPr>
        <w:t>需做好移交手续，原合同和协议一切条款继续有效。</w:t>
      </w:r>
    </w:p>
    <w:p w14:paraId="66BF5AFD">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.6 中标人应根据上述要求在</w:t>
      </w:r>
      <w:r>
        <w:rPr>
          <w:rFonts w:hint="eastAsia" w:ascii="宋体" w:hAnsi="宋体" w:eastAsia="宋体" w:cs="宋体"/>
          <w:color w:val="auto"/>
          <w:sz w:val="24"/>
          <w:lang w:val="en-US" w:eastAsia="zh-CN"/>
        </w:rPr>
        <w:t>投标文件</w:t>
      </w:r>
      <w:r>
        <w:rPr>
          <w:rFonts w:hint="eastAsia" w:ascii="宋体" w:hAnsi="宋体" w:eastAsia="宋体" w:cs="宋体"/>
          <w:color w:val="auto"/>
          <w:sz w:val="24"/>
          <w:lang w:val="en-US" w:eastAsia="zh-Hans"/>
        </w:rPr>
        <w:t>中作出明确承诺。</w:t>
      </w:r>
    </w:p>
    <w:p w14:paraId="6AC06CA5">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11</w:t>
      </w:r>
      <w:r>
        <w:rPr>
          <w:rFonts w:hint="eastAsia" w:ascii="宋体" w:hAnsi="宋体" w:eastAsia="宋体" w:cs="宋体"/>
          <w:color w:val="auto"/>
          <w:sz w:val="24"/>
          <w:lang w:val="en-US" w:eastAsia="zh-Hans"/>
        </w:rPr>
        <w:t>.7 中标人可视自身能力，在</w:t>
      </w:r>
      <w:r>
        <w:rPr>
          <w:rFonts w:hint="eastAsia" w:ascii="宋体" w:hAnsi="宋体" w:eastAsia="宋体" w:cs="宋体"/>
          <w:color w:val="auto"/>
          <w:sz w:val="24"/>
          <w:lang w:val="en-US" w:eastAsia="zh-CN"/>
        </w:rPr>
        <w:t>投标文件</w:t>
      </w:r>
      <w:r>
        <w:rPr>
          <w:rFonts w:hint="eastAsia" w:ascii="宋体" w:hAnsi="宋体" w:eastAsia="宋体" w:cs="宋体"/>
          <w:color w:val="auto"/>
          <w:sz w:val="24"/>
          <w:lang w:val="en-US" w:eastAsia="zh-Hans"/>
        </w:rPr>
        <w:t>中提供更优、更合理的维修服务承诺。</w:t>
      </w:r>
    </w:p>
    <w:p w14:paraId="44F31C29">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b/>
          <w:bCs/>
          <w:color w:val="auto"/>
          <w:sz w:val="24"/>
          <w:lang w:val="en-US" w:eastAsia="zh-Hans"/>
        </w:rPr>
      </w:pPr>
      <w:r>
        <w:rPr>
          <w:rFonts w:hint="eastAsia" w:ascii="宋体" w:hAnsi="宋体" w:eastAsia="宋体" w:cs="宋体"/>
          <w:b/>
          <w:bCs/>
          <w:color w:val="auto"/>
          <w:sz w:val="24"/>
          <w:lang w:val="en-US" w:eastAsia="zh-CN"/>
        </w:rPr>
        <w:t>12、</w:t>
      </w:r>
      <w:r>
        <w:rPr>
          <w:rFonts w:hint="eastAsia" w:ascii="宋体" w:hAnsi="宋体" w:eastAsia="宋体" w:cs="宋体"/>
          <w:b/>
          <w:bCs/>
          <w:color w:val="auto"/>
          <w:sz w:val="24"/>
          <w:lang w:val="en-US" w:eastAsia="zh-Hans"/>
        </w:rPr>
        <w:t>违约责任</w:t>
      </w:r>
    </w:p>
    <w:p w14:paraId="149CBC3A">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en-US" w:eastAsia="zh-Hans"/>
        </w:rPr>
        <w:t>.1逾期交货：如果中标人未能按合同规定的时间按期交货和提供服务，应按下列标准支付违约金，违约金将从未付的合同货款中先行扣除：第一次违约每迟交3个日历日，按迟交货物金额的1％计算，不满3日历日按3日历日计算；第二次违约，每迟交3个日历日，按迟交货物金额的2％，不满3日历日按3日历日计算。如果中标人在达到违约金的最高限额后仍不能交货或者连续二次出现延期交货，采购人有权因中标人违约解除合同，而中标人仍有义务支付上述违约金。同时，中标人需退还已收款项，并按合同总金额的5%支付违约金，违约金不足以弥补损失的（包括但不限于体彩发行损失、公信力损失、第三方索赔等），中标人需赔偿差额部分。</w:t>
      </w:r>
    </w:p>
    <w:p w14:paraId="697C8C48">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en-US" w:eastAsia="zh-Hans"/>
        </w:rPr>
        <w:t>.2质量问题：中标人产品质量与合同要求、采购文件不符的，采购人有权拒收、要求中标人维修更换、减免价款或者要求退货等。因此产生的费用由中标人承担。同时，中标人按合同总金额的5%支付违约金，违约金不足以弥补损失的（包括但不限于体彩发行损失、公信力损失、第三方索赔等），中标人需赔偿差额部分。</w:t>
      </w:r>
    </w:p>
    <w:p w14:paraId="53D50F07">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en-US" w:eastAsia="zh-Hans"/>
        </w:rPr>
        <w:t>.3其他：若根据本合同约定中标人产品不符合合同约定或有其他违约行为，采购人有权拒收货物并要求退货并要求中标人承担采购人因此造成的损失。</w:t>
      </w:r>
    </w:p>
    <w:p w14:paraId="695850B2">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en-US" w:eastAsia="zh-Hans"/>
        </w:rPr>
        <w:t>.4采购人依约采取拒收货物或者退、换货等措施的，中标人承担因此发生的一切损失费用，包括但不限于利息、银行费用、运输和保险费、检验费、仓储和装卸费以及为保管和保护被拒绝货物所需要的其它必要费用。</w:t>
      </w:r>
    </w:p>
    <w:p w14:paraId="20F16736">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sz w:val="24"/>
          <w:lang w:val="en-US" w:eastAsia="zh-Hans"/>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en-US" w:eastAsia="zh-Hans"/>
        </w:rPr>
        <w:t>.5如果采购人提出索赔通知后30日历日内中标人未能予以答复，该索赔应视为已被中标人接受。若中标人未能在采购人提出索赔通知的30日历日内或采购人同意的更长一些的时间内，按采购人同意的上述任何一种方式处理索赔事宜，采购人将从未付的合同价款中扣除索赔金额，同时按本合同条款规定解除合同并追究中标人的违约责任。</w:t>
      </w:r>
    </w:p>
    <w:p w14:paraId="19BE5166">
      <w:pPr>
        <w:keepNext w:val="0"/>
        <w:keepLines w:val="0"/>
        <w:pageBreakBefore w:val="0"/>
        <w:kinsoku/>
        <w:wordWrap/>
        <w:overflowPunct/>
        <w:topLinePunct w:val="0"/>
        <w:autoSpaceDE/>
        <w:autoSpaceDN/>
        <w:bidi w:val="0"/>
        <w:adjustRightInd/>
        <w:snapToGrid/>
        <w:spacing w:line="360" w:lineRule="atLeast"/>
        <w:ind w:firstLine="42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lang w:val="en-US" w:eastAsia="zh-CN"/>
        </w:rPr>
        <w:t>12</w:t>
      </w:r>
      <w:r>
        <w:rPr>
          <w:rFonts w:hint="eastAsia" w:ascii="宋体" w:hAnsi="宋体" w:eastAsia="宋体" w:cs="宋体"/>
          <w:color w:val="auto"/>
          <w:sz w:val="24"/>
          <w:lang w:val="en-US" w:eastAsia="zh-Hans"/>
        </w:rPr>
        <w:t>.6采购人违约责任：如果采购人无正当理由迟延履行付款义务时，在延付期内应按国家规定的同期同类银行基准贷款利率计算中标人的利息损失并给予赔偿，但是因中标人过错导致采购人迟延付款或拒绝付款的除外。</w:t>
      </w:r>
    </w:p>
    <w:p w14:paraId="288F249E">
      <w:pPr>
        <w:pStyle w:val="16"/>
        <w:keepNext w:val="0"/>
        <w:keepLines w:val="0"/>
        <w:pageBreakBefore w:val="0"/>
        <w:widowControl/>
        <w:kinsoku/>
        <w:wordWrap/>
        <w:overflowPunct/>
        <w:topLinePunct w:val="0"/>
        <w:autoSpaceDE/>
        <w:autoSpaceDN/>
        <w:bidi w:val="0"/>
        <w:adjustRightInd/>
        <w:snapToGrid/>
        <w:spacing w:line="360" w:lineRule="atLeast"/>
        <w:ind w:firstLine="499"/>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★注：所有商务要求均为不允许偏离的实质性要求，若负偏离则按无效投标处理。</w:t>
      </w:r>
    </w:p>
    <w:p w14:paraId="01347350">
      <w:pPr>
        <w:pStyle w:val="16"/>
        <w:keepNext w:val="0"/>
        <w:keepLines w:val="0"/>
        <w:pageBreakBefore w:val="0"/>
        <w:kinsoku/>
        <w:wordWrap/>
        <w:overflowPunct/>
        <w:topLinePunct w:val="0"/>
        <w:autoSpaceDE/>
        <w:autoSpaceDN/>
        <w:bidi w:val="0"/>
        <w:adjustRightInd/>
        <w:snapToGrid/>
        <w:spacing w:line="360" w:lineRule="atLeast"/>
        <w:jc w:val="both"/>
        <w:textAlignment w:val="auto"/>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四、其他事项</w:t>
      </w:r>
    </w:p>
    <w:p w14:paraId="132FEA86">
      <w:pPr>
        <w:pStyle w:val="16"/>
        <w:keepNext w:val="0"/>
        <w:keepLines w:val="0"/>
        <w:pageBreakBefore w:val="0"/>
        <w:widowControl/>
        <w:kinsoku/>
        <w:wordWrap/>
        <w:overflowPunct/>
        <w:topLinePunct w:val="0"/>
        <w:autoSpaceDE/>
        <w:autoSpaceDN/>
        <w:bidi w:val="0"/>
        <w:adjustRightInd/>
        <w:snapToGrid/>
        <w:spacing w:line="360" w:lineRule="atLeast"/>
        <w:ind w:firstLine="482"/>
        <w:jc w:val="both"/>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1、除招标文件另有规定外，若出现有关法律、法规和规章有强制性规定但招标文件未列明的情形，则投标人应按照有关法律、法规和规章强制性规定执行。</w:t>
      </w:r>
    </w:p>
    <w:p w14:paraId="58F7DC35">
      <w:pPr>
        <w:keepNext w:val="0"/>
        <w:keepLines w:val="0"/>
        <w:pageBreakBefore w:val="0"/>
        <w:numPr>
          <w:ilvl w:val="0"/>
          <w:numId w:val="0"/>
        </w:numPr>
        <w:kinsoku/>
        <w:wordWrap/>
        <w:overflowPunct/>
        <w:topLinePunct w:val="0"/>
        <w:autoSpaceDE/>
        <w:autoSpaceDN/>
        <w:bidi w:val="0"/>
        <w:adjustRightInd/>
        <w:snapToGrid/>
        <w:spacing w:line="360" w:lineRule="atLeast"/>
        <w:ind w:firstLine="480" w:firstLineChars="0"/>
        <w:jc w:val="left"/>
        <w:textAlignment w:val="auto"/>
        <w:rPr>
          <w:rFonts w:hint="default" w:ascii="宋体" w:hAnsi="宋体" w:eastAsia="宋体" w:cs="宋体"/>
          <w:color w:val="auto"/>
          <w:kern w:val="2"/>
          <w:sz w:val="24"/>
          <w:szCs w:val="24"/>
          <w:highlight w:val="none"/>
          <w:lang w:val="en-US" w:eastAsia="zh-CN" w:bidi="ar-SA"/>
        </w:rPr>
        <w:sectPr>
          <w:pgSz w:w="11906" w:h="16838"/>
          <w:pgMar w:top="1440" w:right="1737" w:bottom="1440" w:left="1349" w:header="851" w:footer="992" w:gutter="0"/>
          <w:pgNumType w:fmt="decimal"/>
          <w:cols w:space="425" w:num="1"/>
          <w:docGrid w:type="lines" w:linePitch="312" w:charSpace="0"/>
        </w:sectPr>
      </w:pPr>
      <w:r>
        <w:rPr>
          <w:rFonts w:ascii="宋体" w:hAnsi="宋体" w:eastAsia="宋体" w:cs="宋体"/>
          <w:color w:val="auto"/>
          <w:sz w:val="24"/>
          <w:szCs w:val="24"/>
          <w:highlight w:val="none"/>
        </w:rPr>
        <w:t>2、其他：2.1本项目不允许中标人以任何名义和理由在中标后将中标项目的主体、非主体、关键性工作、非关键性工作进行转包、分包。在履行合同过程中如有发现，采购人有权单方终止合同。视为中标人违约，中标人违约对采购人造成的损失的，需另行支付相应的赔偿，并追究相关法律责任。2.2本招标文件未明确的其它约定事项或条款，待采购人与</w:t>
      </w:r>
      <w:r>
        <w:rPr>
          <w:rFonts w:ascii="宋体" w:hAnsi="宋体" w:eastAsia="宋体" w:cs="宋体"/>
          <w:color w:val="auto"/>
          <w:sz w:val="24"/>
          <w:szCs w:val="24"/>
          <w:highlight w:val="none"/>
          <w:lang w:eastAsia="zh-CN"/>
        </w:rPr>
        <w:t>中标</w:t>
      </w:r>
      <w:r>
        <w:rPr>
          <w:rFonts w:ascii="宋体" w:hAnsi="宋体" w:eastAsia="宋体" w:cs="宋体"/>
          <w:color w:val="auto"/>
          <w:sz w:val="24"/>
          <w:szCs w:val="24"/>
          <w:highlight w:val="none"/>
        </w:rPr>
        <w:t>人签订合同时，由双方协商订立。</w:t>
      </w: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kern w:val="2"/>
          <w:sz w:val="24"/>
          <w:szCs w:val="24"/>
          <w:highlight w:val="none"/>
          <w:lang w:val="en-US" w:eastAsia="zh-CN" w:bidi="ar-SA"/>
        </w:rPr>
        <w:t>中标人要求采购人付款时，应同时提交下列单证和文件：①正式发票；②制造厂家出具的货物质量合格证书；③福建省体育彩票管理中心已收讫货物的签收凭证；④中标人与采购人共同签字的验收合格文件。2.4双方发生争议，应协商解决；协商不成的，任何一方均有权向采购方所在地人民法院提起诉讼。2.5视频演示样片要求：投标人须将视频演示样片存储至U盘（不接受其他介质存储），单独密封并在投标截止时间前递交，样片总时长不超过5分钟。</w:t>
      </w:r>
    </w:p>
    <w:p w14:paraId="26E1B4E3">
      <w:pPr>
        <w:pStyle w:val="16"/>
        <w:jc w:val="center"/>
        <w:outlineLvl w:val="1"/>
        <w:rPr>
          <w:rFonts w:ascii="宋体" w:hAnsi="宋体" w:eastAsia="宋体" w:cs="宋体"/>
          <w:b/>
          <w:color w:val="auto"/>
          <w:sz w:val="32"/>
          <w:szCs w:val="32"/>
          <w:highlight w:val="none"/>
          <w:lang w:bidi="ar-SA"/>
        </w:rPr>
      </w:pPr>
      <w:r>
        <w:rPr>
          <w:rFonts w:ascii="宋体" w:hAnsi="宋体" w:eastAsia="宋体" w:cs="宋体"/>
          <w:b/>
          <w:color w:val="auto"/>
          <w:sz w:val="32"/>
          <w:szCs w:val="32"/>
          <w:highlight w:val="none"/>
          <w:lang w:bidi="ar-SA"/>
        </w:rPr>
        <w:t>第六章 政府采购合同</w:t>
      </w:r>
    </w:p>
    <w:p w14:paraId="1D4B25EC">
      <w:pPr>
        <w:pStyle w:val="16"/>
        <w:jc w:val="center"/>
        <w:outlineLvl w:val="2"/>
        <w:rPr>
          <w:rFonts w:ascii="宋体" w:hAnsi="宋体" w:eastAsia="宋体" w:cs="宋体"/>
          <w:b/>
          <w:color w:val="auto"/>
          <w:sz w:val="28"/>
          <w:szCs w:val="28"/>
          <w:highlight w:val="none"/>
          <w:lang w:bidi="ar-SA"/>
        </w:rPr>
      </w:pPr>
      <w:r>
        <w:rPr>
          <w:rFonts w:ascii="宋体" w:hAnsi="宋体" w:eastAsia="宋体" w:cs="宋体"/>
          <w:b/>
          <w:color w:val="auto"/>
          <w:sz w:val="28"/>
          <w:szCs w:val="28"/>
          <w:highlight w:val="none"/>
          <w:lang w:bidi="ar-SA"/>
        </w:rPr>
        <w:t>参考文本</w:t>
      </w:r>
    </w:p>
    <w:p w14:paraId="7A97DD20">
      <w:pPr>
        <w:pStyle w:val="16"/>
        <w:jc w:val="center"/>
        <w:outlineLvl w:val="1"/>
        <w:rPr>
          <w:rFonts w:ascii="宋体" w:hAnsi="宋体" w:eastAsia="宋体" w:cs="宋体"/>
          <w:b/>
          <w:color w:val="auto"/>
          <w:sz w:val="28"/>
          <w:szCs w:val="28"/>
          <w:highlight w:val="none"/>
          <w:lang w:bidi="ar-SA"/>
        </w:rPr>
      </w:pPr>
      <w:r>
        <w:rPr>
          <w:rFonts w:ascii="宋体" w:hAnsi="宋体" w:eastAsia="宋体" w:cs="宋体"/>
          <w:b/>
          <w:color w:val="auto"/>
          <w:sz w:val="28"/>
          <w:szCs w:val="28"/>
          <w:highlight w:val="none"/>
          <w:lang w:bidi="ar-SA"/>
        </w:rPr>
        <w:t xml:space="preserve"> 政府采购货物买卖合同（试行）</w:t>
      </w:r>
    </w:p>
    <w:p w14:paraId="745E2B38">
      <w:pPr>
        <w:pStyle w:val="16"/>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b/>
          <w:color w:val="auto"/>
          <w:sz w:val="28"/>
          <w:szCs w:val="28"/>
        </w:rPr>
        <w:t>项目名称： __________________________</w:t>
      </w:r>
    </w:p>
    <w:p w14:paraId="46FA3C28">
      <w:pPr>
        <w:pStyle w:val="16"/>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b/>
          <w:color w:val="auto"/>
          <w:sz w:val="28"/>
          <w:szCs w:val="28"/>
        </w:rPr>
        <w:t>合同编号： __________________________</w:t>
      </w:r>
    </w:p>
    <w:p w14:paraId="2BC913DC">
      <w:pPr>
        <w:pStyle w:val="16"/>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b/>
          <w:color w:val="auto"/>
          <w:sz w:val="28"/>
          <w:szCs w:val="28"/>
        </w:rPr>
        <w:t>甲   方： __________________________</w:t>
      </w:r>
    </w:p>
    <w:p w14:paraId="5B017241">
      <w:pPr>
        <w:pStyle w:val="16"/>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b/>
          <w:color w:val="auto"/>
          <w:sz w:val="28"/>
          <w:szCs w:val="28"/>
        </w:rPr>
        <w:t>乙   方：__________________________</w:t>
      </w:r>
    </w:p>
    <w:p w14:paraId="557C08DC">
      <w:pPr>
        <w:pStyle w:val="16"/>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b/>
          <w:color w:val="auto"/>
          <w:sz w:val="28"/>
          <w:szCs w:val="28"/>
        </w:rPr>
        <w:t>签订时间：__________________________</w:t>
      </w:r>
    </w:p>
    <w:p w14:paraId="4BBA5EF6">
      <w:pPr>
        <w:pStyle w:val="16"/>
        <w:jc w:val="left"/>
        <w:rPr>
          <w:color w:val="auto"/>
        </w:rPr>
      </w:pPr>
      <w:r>
        <w:rPr>
          <w:rFonts w:ascii="仿宋_GB2312" w:hAnsi="仿宋_GB2312" w:eastAsia="仿宋_GB2312" w:cs="仿宋_GB2312"/>
          <w:color w:val="auto"/>
        </w:rPr>
        <w:t xml:space="preserve"> </w:t>
      </w:r>
    </w:p>
    <w:p w14:paraId="1020AB31">
      <w:pPr>
        <w:pStyle w:val="16"/>
        <w:jc w:val="center"/>
        <w:outlineLvl w:val="3"/>
        <w:rPr>
          <w:rFonts w:ascii="宋体" w:hAnsi="宋体" w:eastAsia="宋体" w:cs="宋体"/>
          <w:b/>
          <w:color w:val="auto"/>
          <w:sz w:val="28"/>
          <w:szCs w:val="28"/>
          <w:highlight w:val="none"/>
          <w:lang w:bidi="ar-SA"/>
        </w:rPr>
      </w:pPr>
      <w:r>
        <w:rPr>
          <w:rFonts w:ascii="宋体" w:hAnsi="宋体" w:eastAsia="宋体" w:cs="宋体"/>
          <w:b/>
          <w:color w:val="auto"/>
          <w:sz w:val="28"/>
          <w:szCs w:val="28"/>
          <w:highlight w:val="none"/>
          <w:lang w:bidi="ar-SA"/>
        </w:rPr>
        <w:t>使用说明</w:t>
      </w:r>
    </w:p>
    <w:p w14:paraId="4CFCDB3F">
      <w:pPr>
        <w:pStyle w:val="16"/>
        <w:outlineLvl w:val="3"/>
        <w:rPr>
          <w:rFonts w:hint="eastAsia" w:asciiTheme="minorEastAsia" w:hAnsiTheme="minorEastAsia" w:eastAsiaTheme="minorEastAsia" w:cstheme="minorEastAsia"/>
          <w:b/>
          <w:bCs w:val="0"/>
          <w:color w:val="auto"/>
          <w:sz w:val="24"/>
          <w:szCs w:val="24"/>
          <w:highlight w:val="none"/>
          <w:lang w:bidi="ar-SA"/>
        </w:rPr>
      </w:pPr>
      <w:r>
        <w:rPr>
          <w:rFonts w:hint="eastAsia" w:asciiTheme="minorEastAsia" w:hAnsiTheme="minorEastAsia" w:eastAsiaTheme="minorEastAsia" w:cstheme="minorEastAsia"/>
          <w:b/>
          <w:bCs w:val="0"/>
          <w:color w:val="auto"/>
          <w:sz w:val="24"/>
          <w:szCs w:val="24"/>
          <w:highlight w:val="none"/>
          <w:lang w:bidi="ar-SA"/>
        </w:rPr>
        <w:t>1.本合同标准文本适用于购买现成货物的采购项目，不包括需要供应商定制开发、创新研发的货物采购项目。</w:t>
      </w:r>
    </w:p>
    <w:p w14:paraId="19B7A863">
      <w:pPr>
        <w:pStyle w:val="16"/>
        <w:outlineLvl w:val="3"/>
        <w:rPr>
          <w:rFonts w:hint="eastAsia" w:asciiTheme="minorEastAsia" w:hAnsiTheme="minorEastAsia" w:eastAsiaTheme="minorEastAsia" w:cstheme="minorEastAsia"/>
          <w:b/>
          <w:bCs w:val="0"/>
          <w:color w:val="auto"/>
          <w:sz w:val="24"/>
          <w:szCs w:val="24"/>
          <w:highlight w:val="none"/>
          <w:lang w:bidi="ar-SA"/>
        </w:rPr>
      </w:pPr>
      <w:r>
        <w:rPr>
          <w:rFonts w:hint="eastAsia" w:asciiTheme="minorEastAsia" w:hAnsiTheme="minorEastAsia" w:eastAsiaTheme="minorEastAsia" w:cstheme="minorEastAsia"/>
          <w:b/>
          <w:bCs w:val="0"/>
          <w:color w:val="auto"/>
          <w:sz w:val="24"/>
          <w:szCs w:val="24"/>
          <w:highlight w:val="none"/>
          <w:lang w:bidi="ar-SA"/>
        </w:rPr>
        <w:t>2.本合同标准文本为政府采购货物买卖合同编制提供参考，可以结合采购项目具体情况，对文本作必要的调整修订后使用。</w:t>
      </w:r>
    </w:p>
    <w:p w14:paraId="476A24B0">
      <w:pPr>
        <w:pStyle w:val="16"/>
        <w:outlineLvl w:val="3"/>
        <w:rPr>
          <w:rFonts w:hint="eastAsia" w:asciiTheme="minorEastAsia" w:hAnsiTheme="minorEastAsia" w:eastAsiaTheme="minorEastAsia" w:cstheme="minorEastAsia"/>
          <w:b/>
          <w:bCs w:val="0"/>
          <w:color w:val="auto"/>
          <w:sz w:val="24"/>
          <w:szCs w:val="24"/>
          <w:highlight w:val="none"/>
          <w:lang w:bidi="ar-SA"/>
        </w:rPr>
      </w:pPr>
      <w:r>
        <w:rPr>
          <w:rFonts w:hint="eastAsia" w:asciiTheme="minorEastAsia" w:hAnsiTheme="minorEastAsia" w:eastAsiaTheme="minorEastAsia" w:cstheme="minorEastAsia"/>
          <w:b/>
          <w:bCs w:val="0"/>
          <w:color w:val="auto"/>
          <w:sz w:val="24"/>
          <w:szCs w:val="24"/>
          <w:highlight w:val="none"/>
          <w:lang w:bidi="ar-SA"/>
        </w:rPr>
        <w:t>3.本合同标准文本各条款中，如涉及填写多家供应商、制造商，多种采购标的、分包主要内容等信息的，可根据采购项目具体情况添加信息项。</w:t>
      </w:r>
    </w:p>
    <w:p w14:paraId="7B2E6251">
      <w:pPr>
        <w:pStyle w:val="16"/>
        <w:jc w:val="center"/>
        <w:outlineLvl w:val="3"/>
        <w:rPr>
          <w:rFonts w:ascii="宋体" w:hAnsi="宋体" w:eastAsia="宋体" w:cs="宋体"/>
          <w:b/>
          <w:color w:val="auto"/>
          <w:sz w:val="28"/>
          <w:szCs w:val="28"/>
          <w:highlight w:val="none"/>
          <w:lang w:bidi="ar-SA"/>
        </w:rPr>
      </w:pPr>
      <w:r>
        <w:rPr>
          <w:rFonts w:ascii="宋体" w:hAnsi="宋体" w:eastAsia="宋体" w:cs="宋体"/>
          <w:b/>
          <w:color w:val="auto"/>
          <w:sz w:val="28"/>
          <w:szCs w:val="28"/>
          <w:highlight w:val="none"/>
          <w:lang w:bidi="ar-SA"/>
        </w:rPr>
        <w:t>第一节 政府采购合同协议书</w:t>
      </w:r>
    </w:p>
    <w:p w14:paraId="3CDC840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甲方（全称）：___________________________（采购人、受采购人委托签订合同的单位或采购文件约定的合同甲方）</w:t>
      </w:r>
    </w:p>
    <w:p w14:paraId="09DE35ED">
      <w:pPr>
        <w:pStyle w:val="16"/>
        <w:jc w:val="left"/>
        <w:rPr>
          <w:rFonts w:hint="eastAsia" w:asciiTheme="minorEastAsia" w:hAnsiTheme="minorEastAsia" w:eastAsiaTheme="minorEastAsia" w:cstheme="minorEastAsia"/>
          <w:color w:val="auto"/>
          <w:sz w:val="24"/>
          <w:szCs w:val="24"/>
        </w:rPr>
      </w:pPr>
    </w:p>
    <w:p w14:paraId="7816A5B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乙方1（全称）：___________________________（供应商）</w:t>
      </w:r>
    </w:p>
    <w:p w14:paraId="4679EF0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乙方2（全称）：___________________________（联合体成员供应商或其他合同主体）（如有）</w:t>
      </w:r>
    </w:p>
    <w:p w14:paraId="78669B2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乙方3（全称）：___________________________（联合体成员供应商或其他合同主体）（如有）</w:t>
      </w:r>
    </w:p>
    <w:p w14:paraId="6C6ABA34">
      <w:pPr>
        <w:pStyle w:val="16"/>
        <w:jc w:val="left"/>
        <w:rPr>
          <w:rFonts w:hint="eastAsia" w:asciiTheme="minorEastAsia" w:hAnsiTheme="minorEastAsia" w:eastAsiaTheme="minorEastAsia" w:cstheme="minorEastAsia"/>
          <w:color w:val="auto"/>
          <w:sz w:val="24"/>
          <w:szCs w:val="24"/>
        </w:rPr>
      </w:pPr>
    </w:p>
    <w:p w14:paraId="75150521">
      <w:pPr>
        <w:pStyle w:val="16"/>
        <w:ind w:firstLine="0" w:firstLine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7DE09DBD">
      <w:pPr>
        <w:pStyle w:val="16"/>
        <w:spacing w:line="360" w:lineRule="exact"/>
        <w:outlineLvl w:val="3"/>
        <w:rPr>
          <w:rFonts w:ascii="宋体" w:hAnsi="宋体" w:eastAsia="宋体" w:cs="宋体"/>
          <w:b/>
          <w:color w:val="auto"/>
          <w:sz w:val="24"/>
          <w:szCs w:val="24"/>
          <w:highlight w:val="none"/>
          <w:lang w:bidi="ar-SA"/>
        </w:rPr>
      </w:pPr>
      <w:r>
        <w:rPr>
          <w:rFonts w:ascii="宋体" w:hAnsi="宋体" w:eastAsia="宋体" w:cs="宋体"/>
          <w:b/>
          <w:color w:val="auto"/>
          <w:sz w:val="24"/>
          <w:szCs w:val="24"/>
          <w:highlight w:val="none"/>
          <w:lang w:bidi="ar-SA"/>
        </w:rPr>
        <w:t>1.项目信息</w:t>
      </w:r>
    </w:p>
    <w:p w14:paraId="1885B96C">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(1)采购项目名称：___________________________</w:t>
      </w:r>
    </w:p>
    <w:p w14:paraId="14C14CCD">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采购项目编号：____________________________</w:t>
      </w:r>
    </w:p>
    <w:p w14:paraId="1A1EEDF8">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(2)采购计划编号：___________________________</w:t>
      </w:r>
    </w:p>
    <w:p w14:paraId="04E85C8F">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(3)项目内容：</w:t>
      </w:r>
    </w:p>
    <w:p w14:paraId="1E214894">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采购标的及数量（台/套/个/架/组等）：___________________</w:t>
      </w:r>
    </w:p>
    <w:p w14:paraId="091D534D">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品牌： ___________________ 规格型号：___________________</w:t>
      </w:r>
    </w:p>
    <w:p w14:paraId="044D236F">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采购标的的技术要求、商务要求具体见附件。</w:t>
      </w:r>
    </w:p>
    <w:p w14:paraId="3AE93113">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①涉及信息类产品，请填写该产品关键部件的品牌、型号：</w:t>
      </w:r>
    </w:p>
    <w:p w14:paraId="08E889AD">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标的名称： ___________________</w:t>
      </w:r>
    </w:p>
    <w:p w14:paraId="2EE1200A">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关键部件： ___________________ 品牌：___________________ 型号： ___________________</w:t>
      </w:r>
    </w:p>
    <w:p w14:paraId="4FDFF6EA">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关键部件： ___________________ 品牌：___________________ 型号： ___________________</w:t>
      </w:r>
    </w:p>
    <w:p w14:paraId="1848934A">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关键部件： ___________________ 品牌：___________________ 型号： ___________________</w:t>
      </w:r>
    </w:p>
    <w:p w14:paraId="21A4D481">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（注：关键部件是指财政部会同有关部门发布的政府采购需求标准规定的需要通过国家有关部门指定的测评机构开展的安全可靠测评的软硬件，如CPU芯片、操作系统、数据库等。）</w:t>
      </w:r>
    </w:p>
    <w:p w14:paraId="465BCB61">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②涉及车辆采购，请填写是否属于新能源汽车：</w:t>
      </w:r>
    </w:p>
    <w:p w14:paraId="0D215ABF">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是，《政府采购品目分类目录》底级品目名称：__________  数量：__________  金额：__________</w:t>
      </w:r>
    </w:p>
    <w:p w14:paraId="46700472">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p w14:paraId="30463229">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(4)政府采购组织形式：政府集中采购 部门集中采购 分散采购</w:t>
      </w:r>
    </w:p>
    <w:p w14:paraId="7F3468FB">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(5)政府采购方式：公开招标 邀请招标 竞争性谈判 竞争性磋商询价 单一来源 框架协议 其他：____________________</w:t>
      </w:r>
    </w:p>
    <w:p w14:paraId="0F16BFA1">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(6)中标（成交）采购标的制造商是否为中小企业：是否</w:t>
      </w:r>
    </w:p>
    <w:p w14:paraId="52AE56C1">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本合同是否为专门面向中小企业的采购合同（中小企业预留合同）：是否</w:t>
      </w:r>
    </w:p>
    <w:p w14:paraId="797AFF11">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若本项目不专门面向中小企业采购，是否给予小微企业评审优惠：是否</w:t>
      </w:r>
    </w:p>
    <w:p w14:paraId="278B6260">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中标（成交）采购标的制造商是否为残疾人福利性单位：是否</w:t>
      </w:r>
    </w:p>
    <w:p w14:paraId="64F86F2A">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中标（成交）采购标的制造商是否为监狱企业：是否</w:t>
      </w:r>
    </w:p>
    <w:p w14:paraId="3548164E">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(7)合同是否分包：是否</w:t>
      </w:r>
    </w:p>
    <w:p w14:paraId="2B693D3A">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分包主要内容：________________________________________</w:t>
      </w:r>
    </w:p>
    <w:p w14:paraId="39DE2A49">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分包供应商/制造商名称（如供应商和制造商不同，请分别填写）：</w:t>
      </w:r>
    </w:p>
    <w:p w14:paraId="078B5AF3">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________________________________________</w:t>
      </w:r>
    </w:p>
    <w:p w14:paraId="1A71FDF5">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分包供应商/制造商类型（如果供应商和制造商不同，只填写制造商类型）：</w:t>
      </w:r>
    </w:p>
    <w:p w14:paraId="41818A15">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大型企业中型企业小微型企业</w:t>
      </w:r>
    </w:p>
    <w:p w14:paraId="682BA992">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残疾人福利性单位监狱企业其他</w:t>
      </w:r>
    </w:p>
    <w:p w14:paraId="4FA43474">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(8)中标（成交）供应商是否为外商投资企业：是否</w:t>
      </w:r>
    </w:p>
    <w:p w14:paraId="66A25409">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外商投资企业类型：全部由外国投资者投资部分由外国投资者投资</w:t>
      </w:r>
    </w:p>
    <w:p w14:paraId="53649504">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9</w:t>
      </w: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是否涉及进口产品：</w:t>
      </w:r>
    </w:p>
    <w:p w14:paraId="38D1F7BA">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是，《政府采购品目分类目录》底级品目名称：__________  金额：__________</w:t>
      </w:r>
    </w:p>
    <w:p w14:paraId="0DC89DE3">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国别：__________  品牌：__________  规格型号__________</w:t>
      </w:r>
    </w:p>
    <w:p w14:paraId="53941263">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p w14:paraId="3446E3A8">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10</w:t>
      </w: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是否涉及节能产品：</w:t>
      </w:r>
    </w:p>
    <w:p w14:paraId="358DFB99">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是，《节能产品政府采购品目清单》的底级品目名称：__________</w:t>
      </w:r>
    </w:p>
    <w:p w14:paraId="4BF1D092">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强制采购         优先采购</w:t>
      </w:r>
    </w:p>
    <w:p w14:paraId="705F318B">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p w14:paraId="2514B693">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是否涉及环境标志产品：</w:t>
      </w:r>
    </w:p>
    <w:p w14:paraId="214774C5">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是，《环境标志产品政府采购品目清单》的底级品目名称：__________</w:t>
      </w:r>
    </w:p>
    <w:p w14:paraId="199BC75C">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强制采购         优先采购</w:t>
      </w:r>
    </w:p>
    <w:p w14:paraId="2A804316">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p w14:paraId="018E144E">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是否涉及绿色产品：</w:t>
      </w:r>
    </w:p>
    <w:p w14:paraId="3FB40028">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是，绿色产品政府采购相关政策确定的底级品目名称：__________</w:t>
      </w:r>
    </w:p>
    <w:p w14:paraId="689FE254">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强制采购         优先采购</w:t>
      </w:r>
    </w:p>
    <w:p w14:paraId="4CD09A9E">
      <w:pPr>
        <w:pStyle w:val="16"/>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p w14:paraId="038A21C8">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(11)涉及商品包装和快递包装的，是否参考《商品包装政府采购需求标准（试行）》、《快递包装政府采购需求标准（试行）》明确产品及相关快递服务的具体包装要求：</w:t>
      </w:r>
    </w:p>
    <w:p w14:paraId="25E2A31D">
      <w:pPr>
        <w:pStyle w:val="16"/>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         否        不涉及</w:t>
      </w:r>
    </w:p>
    <w:p w14:paraId="79168740">
      <w:pPr>
        <w:pStyle w:val="16"/>
        <w:spacing w:line="360" w:lineRule="exact"/>
        <w:outlineLvl w:val="3"/>
        <w:rPr>
          <w:rFonts w:ascii="宋体" w:hAnsi="宋体" w:eastAsia="宋体" w:cs="宋体"/>
          <w:b/>
          <w:color w:val="auto"/>
          <w:sz w:val="24"/>
          <w:szCs w:val="24"/>
          <w:highlight w:val="none"/>
          <w:lang w:bidi="ar-SA"/>
        </w:rPr>
      </w:pPr>
      <w:r>
        <w:rPr>
          <w:rFonts w:ascii="宋体" w:hAnsi="宋体" w:eastAsia="宋体" w:cs="宋体"/>
          <w:b/>
          <w:color w:val="auto"/>
          <w:sz w:val="24"/>
          <w:szCs w:val="24"/>
          <w:highlight w:val="none"/>
          <w:lang w:bidi="ar-SA"/>
        </w:rPr>
        <w:t>2.合同金额</w:t>
      </w:r>
    </w:p>
    <w:p w14:paraId="3F58369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（1）合同金额小写：____________________</w:t>
      </w:r>
    </w:p>
    <w:p w14:paraId="47E2DA3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大写：____________________</w:t>
      </w:r>
    </w:p>
    <w:p w14:paraId="5013C2A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分包金额（如有）小写：____________________</w:t>
      </w:r>
    </w:p>
    <w:p w14:paraId="3530961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大写：____________________</w:t>
      </w:r>
    </w:p>
    <w:p w14:paraId="5326C5E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（注：固定单价合同应填写单价和最高限价）</w:t>
      </w:r>
    </w:p>
    <w:p w14:paraId="7ECCDD7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（2）合同定价方式（采用组合定价方式的，可以勾选多项）：</w:t>
      </w:r>
    </w:p>
    <w:p w14:paraId="3FC2755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固定总价固定单价成本补偿绩效激励其他__________</w:t>
      </w:r>
    </w:p>
    <w:p w14:paraId="0F17AE9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（3）付款方式（按项目实际勾选填写）：</w:t>
      </w:r>
    </w:p>
    <w:p w14:paraId="7D8EBFE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全额付款：_______（应明确一次性支付合同款项的条件）_____________</w:t>
      </w:r>
    </w:p>
    <w:p w14:paraId="079E307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分期付款：_______（应明确分期支付合同款项的各期比例和支付条件，各期支付条件应与分期履约验收情况挂钩）_____________，其中涉及预付款的：_______ （应明确预付款的支付比例和支付条件）</w:t>
      </w:r>
    </w:p>
    <w:p w14:paraId="1A35E99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成本补偿：_______（应明确按照成本补偿方式的支付方式和支付条件）___________</w:t>
      </w:r>
    </w:p>
    <w:p w14:paraId="580BD2C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绩效激励：_______（应明确按照绩效激励方式的支付方式和支付条件）_________</w:t>
      </w:r>
    </w:p>
    <w:p w14:paraId="7A1FC12B">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3.合同履行</w:t>
      </w:r>
    </w:p>
    <w:p w14:paraId="50A2135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（1）起始日期：____________________年____________________月 ____________________日 ，完成日期：____________________年____________________月____________________日。</w:t>
      </w:r>
    </w:p>
    <w:p w14:paraId="1F419B5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（2）履约地点：____________________</w:t>
      </w:r>
    </w:p>
    <w:p w14:paraId="3E9D86F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（3）履约担保：</w:t>
      </w:r>
    </w:p>
    <w:p w14:paraId="68F2349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是否收取履约保证金：是 否</w:t>
      </w:r>
    </w:p>
    <w:p w14:paraId="3FE88DB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收取履约保证金形式：____________________</w:t>
      </w:r>
    </w:p>
    <w:p w14:paraId="4621EFC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收取履约保证金金额：____________________</w:t>
      </w:r>
    </w:p>
    <w:p w14:paraId="0A31188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履约担保期限：____________________</w:t>
      </w:r>
    </w:p>
    <w:p w14:paraId="7F6DC6B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履约担保期限：____________________</w:t>
      </w:r>
    </w:p>
    <w:p w14:paraId="1525CE3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（4）分期履行要求：____________________</w:t>
      </w:r>
    </w:p>
    <w:p w14:paraId="6F4FC8F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（5）风险处置措施和替代方案：____________________</w:t>
      </w:r>
    </w:p>
    <w:p w14:paraId="114055C9">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4.合同验收</w:t>
      </w:r>
    </w:p>
    <w:p w14:paraId="48EDE67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（1）验收组织方式：自行验收委托第三方验收</w:t>
      </w:r>
    </w:p>
    <w:p w14:paraId="5117909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验收主体：____________________</w:t>
      </w:r>
    </w:p>
    <w:p w14:paraId="1C4E4F3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是否邀请本项目的其他供应商参加验收：是否</w:t>
      </w:r>
    </w:p>
    <w:p w14:paraId="13CEF8B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是否邀请专家参加验收：是否</w:t>
      </w:r>
    </w:p>
    <w:p w14:paraId="492B735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是否邀请服务对象参加验收：是否</w:t>
      </w:r>
    </w:p>
    <w:p w14:paraId="58151EA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是否邀请第三方检测机构参加验收：是否</w:t>
      </w:r>
    </w:p>
    <w:p w14:paraId="06471E3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是否进行抽查检测： 是，抽查比例：__________%否</w:t>
      </w:r>
    </w:p>
    <w:p w14:paraId="1663AC0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是否存在破坏性检测： 是，__________否</w:t>
      </w:r>
    </w:p>
    <w:p w14:paraId="5420ED2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验收组织的其他事项：____________________</w:t>
      </w:r>
    </w:p>
    <w:p w14:paraId="0FAFFBE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（2）履约验收时间：计划于何时验收/供应商提出验收申请之日起_______日内组织验收</w:t>
      </w:r>
    </w:p>
    <w:p w14:paraId="4D84502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（3）履约验收方式：一次性验收分期/分项验收：__________</w:t>
      </w:r>
    </w:p>
    <w:p w14:paraId="172D804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（4）履约验收程序：____________________</w:t>
      </w:r>
    </w:p>
    <w:p w14:paraId="4B2F7FF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（5）履约验收的内容：_________（应当包括每一项技术和商务要求的履约情况，特别是落实政府采购扶持中小企业，支持绿色发展和乡村振兴等政策情况）___________</w:t>
      </w:r>
    </w:p>
    <w:p w14:paraId="1AA544C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（6）履约验收标准：_____________________________</w:t>
      </w:r>
    </w:p>
    <w:p w14:paraId="3E3676F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（7）是否以采购活动中供应商提供的样品作为参考：是否</w:t>
      </w:r>
    </w:p>
    <w:p w14:paraId="5F83916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（8）履约验收其他事项：_______________</w:t>
      </w:r>
    </w:p>
    <w:p w14:paraId="7BB2DEEF">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5.组成合同的文件</w:t>
      </w:r>
    </w:p>
    <w:p w14:paraId="16F1470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本协议书与下列文件一起构成合同文件，如下述文件之间有任何抵触、矛盾或歧义，应按以下顺序解释：</w:t>
      </w:r>
    </w:p>
    <w:p w14:paraId="22DC80A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（1）政府采购合同协议书及其变更、补充协议</w:t>
      </w:r>
    </w:p>
    <w:p w14:paraId="45424E6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（2）政府采购合同专用条款</w:t>
      </w:r>
    </w:p>
    <w:p w14:paraId="634B619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（3）政府采购合同通用条款</w:t>
      </w:r>
    </w:p>
    <w:p w14:paraId="07253F8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（4）中标（成交）通知书</w:t>
      </w:r>
    </w:p>
    <w:p w14:paraId="6638F18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（5）投标（响应）文件</w:t>
      </w:r>
    </w:p>
    <w:p w14:paraId="436EA69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（6）采购文件</w:t>
      </w:r>
    </w:p>
    <w:p w14:paraId="0A26A8F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（7）有关技术文件，图纸</w:t>
      </w:r>
    </w:p>
    <w:p w14:paraId="02AA14A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（8）国家法律、行政法规和规章制度规定或合同约定的作为合同组成部分的其他文件</w:t>
      </w:r>
    </w:p>
    <w:p w14:paraId="639B6408">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6.合同生效</w:t>
      </w:r>
    </w:p>
    <w:p w14:paraId="258F56F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本合同自____________________生效。</w:t>
      </w:r>
    </w:p>
    <w:p w14:paraId="10FC885E">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7.合同份数</w:t>
      </w:r>
    </w:p>
    <w:p w14:paraId="37F258F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本合同一式 _______ 份，甲方执 _______ 份，乙方执 _______ 份，均具有 法律效力。</w:t>
      </w:r>
    </w:p>
    <w:p w14:paraId="3B73E7F9">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8.合同融资支付约定</w:t>
      </w:r>
    </w:p>
    <w:p w14:paraId="658477B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8.1本合同已用于政府采购合同融资，为本项目提供合同融资的金融机构为：______，本合同项下所有款项，甲方须支付至本合同约定的乙方账号，未经_______书面同意，不得变更账号。</w:t>
      </w:r>
    </w:p>
    <w:p w14:paraId="3CC5257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合同订立时间：详见本合同封面的签订时间。</w:t>
      </w:r>
    </w:p>
    <w:p w14:paraId="5C00B11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合同订立时间：详见本合同封面的签订时间。</w:t>
      </w:r>
    </w:p>
    <w:p w14:paraId="644B60F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合同订立地点： ____________________________</w:t>
      </w:r>
    </w:p>
    <w:p w14:paraId="697811E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附件：具体标的及其技术要求和商务要求、联合协议、分包意向协议等。</w:t>
      </w:r>
      <w:r>
        <w:rPr>
          <w:rFonts w:hint="eastAsia" w:asciiTheme="minorEastAsia" w:hAnsiTheme="minorEastAsia" w:eastAsiaTheme="minorEastAsia" w:cstheme="minorEastAsia"/>
          <w:color w:val="auto"/>
          <w:sz w:val="24"/>
          <w:szCs w:val="24"/>
        </w:rPr>
        <w:br w:type="textWrapping"/>
      </w:r>
      <w:r>
        <w:rPr>
          <w:rFonts w:hint="eastAsia" w:asciiTheme="minorEastAsia" w:hAnsiTheme="minorEastAsia" w:eastAsiaTheme="minorEastAsia" w:cstheme="minorEastAsia"/>
          <w:color w:val="auto"/>
          <w:sz w:val="24"/>
          <w:szCs w:val="24"/>
        </w:rPr>
        <w:br w:type="textWrapping"/>
      </w:r>
    </w:p>
    <w:p w14:paraId="1FE17FC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甲方（采购人、受采购人委托签订合同的单位或采购文件约定的合同甲方）</w:t>
      </w:r>
    </w:p>
    <w:p w14:paraId="5395A0D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单位名称（公章或合同章）： {{未填写}}（盖章）</w:t>
      </w:r>
    </w:p>
    <w:p w14:paraId="0AFA8B1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法定代表人或其委托代理人（签章）：{{未填写}}</w:t>
      </w:r>
    </w:p>
    <w:p w14:paraId="3B726B8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住 所：{{未填写}}</w:t>
      </w:r>
    </w:p>
    <w:p w14:paraId="14D6DC1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 系 人：{{未填写}}</w:t>
      </w:r>
    </w:p>
    <w:p w14:paraId="56A607B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联系电话：{{未填写}}</w:t>
      </w:r>
    </w:p>
    <w:p w14:paraId="0DF79E6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通信地址：{{未填写}}</w:t>
      </w:r>
    </w:p>
    <w:p w14:paraId="6FB5CE1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邮政编码：{{未填写}}</w:t>
      </w:r>
    </w:p>
    <w:p w14:paraId="2FF6D3F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电子邮箱：{{未填写}}</w:t>
      </w:r>
    </w:p>
    <w:p w14:paraId="3D33641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统一社会信用代码：{{未填写}}</w:t>
      </w:r>
    </w:p>
    <w:p w14:paraId="24277E96">
      <w:pPr>
        <w:pStyle w:val="16"/>
        <w:jc w:val="left"/>
        <w:rPr>
          <w:color w:val="auto"/>
        </w:rPr>
      </w:pPr>
      <w:r>
        <w:rPr>
          <w:rFonts w:ascii="仿宋_GB2312" w:hAnsi="仿宋_GB2312" w:eastAsia="仿宋_GB2312" w:cs="仿宋_GB2312"/>
          <w:color w:val="auto"/>
        </w:rPr>
        <w:t xml:space="preserve"> </w:t>
      </w:r>
    </w:p>
    <w:p w14:paraId="5E0165D8">
      <w:pPr>
        <w:pStyle w:val="16"/>
        <w:jc w:val="center"/>
        <w:outlineLvl w:val="3"/>
        <w:rPr>
          <w:rFonts w:ascii="宋体" w:hAnsi="宋体" w:eastAsia="宋体" w:cs="宋体"/>
          <w:b/>
          <w:color w:val="auto"/>
          <w:sz w:val="28"/>
          <w:szCs w:val="28"/>
          <w:highlight w:val="none"/>
          <w:lang w:bidi="ar-SA"/>
        </w:rPr>
      </w:pPr>
      <w:r>
        <w:rPr>
          <w:rFonts w:ascii="宋体" w:hAnsi="宋体" w:eastAsia="宋体" w:cs="宋体"/>
          <w:b/>
          <w:color w:val="auto"/>
          <w:sz w:val="28"/>
          <w:szCs w:val="28"/>
          <w:highlight w:val="none"/>
          <w:lang w:bidi="ar-SA"/>
        </w:rPr>
        <w:t>第二节 政府采购合同通用条款</w:t>
      </w:r>
    </w:p>
    <w:p w14:paraId="2C91D9AD">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 定义</w:t>
      </w:r>
    </w:p>
    <w:p w14:paraId="4E635DC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1.1合同当事人</w:t>
      </w:r>
    </w:p>
    <w:p w14:paraId="7EC40DE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（1）采购人（以下称甲方）是指使用财政性资金，通过政府采购方式向供应商购买货物及其相关服务的国家机关、事业单位、团体组织。</w:t>
      </w:r>
    </w:p>
    <w:p w14:paraId="6A9661A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（2）供应商（以下称乙方）是指参加政府采购活动并且中标（成交），向采购人提供合同约定的货物及其相关服务的法人、非法人组织或者自然人。</w:t>
      </w:r>
    </w:p>
    <w:p w14:paraId="541CEE9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（3）其他合同主体是指除采购人和供应商以外，依法参与合同缔结或履行，享有权利、承担义务的合同当事人。</w:t>
      </w:r>
    </w:p>
    <w:p w14:paraId="1815AB0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1.2本合同下列术语应解释为：</w:t>
      </w:r>
    </w:p>
    <w:p w14:paraId="194810E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87B6FB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（2）“合同价款”系指根据本合同规定乙方在全面履行合同义务后甲方应支付给乙方的价款。</w:t>
      </w:r>
    </w:p>
    <w:p w14:paraId="0ED8CCC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（3）“货物”系指乙方根据本合同规定须向甲方提供的各种形态和种类的物品，包括原材料、设备、产品（包括软件）及相关的其备品备件、工具、手册及其他技术资料和材料等。</w:t>
      </w:r>
    </w:p>
    <w:p w14:paraId="7D82567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1785617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（5）“分包”系指中标（成交）供应商按采购文件、投标（响应）文件的规定，根据分包意向协议，将中标（成交）项目中的部分履约内容，分给具有相应资质条件的供应商履行合同的行为。</w:t>
      </w:r>
    </w:p>
    <w:p w14:paraId="3156F89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w:t>
      </w:r>
    </w:p>
    <w:p w14:paraId="230698A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（7）其他术语解释，见</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w:t>
      </w:r>
    </w:p>
    <w:p w14:paraId="2B44DAFE">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2.合同标的及金额</w:t>
      </w:r>
    </w:p>
    <w:p w14:paraId="091020E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 合同标的及金额应与中标（成交）结果一致。乙方为履行本合同而发生的所有费用均应包含在合同价款中，甲方不再另行支付其他任何费用。</w:t>
      </w:r>
    </w:p>
    <w:p w14:paraId="58772377">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3. 履行合同的时间、地点和方式</w:t>
      </w:r>
    </w:p>
    <w:p w14:paraId="2CAB9DE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 乙方应当在约定的时间、地点，按照约定方式履行合同。</w:t>
      </w:r>
    </w:p>
    <w:p w14:paraId="15362B9C">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4. 甲方的权利和义务</w:t>
      </w:r>
    </w:p>
    <w:p w14:paraId="016C5EF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42DDCF4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4.2 甲方有权要求乙方按时提交各阶段有关安排计划，并有权定期核对乙方提供货物数量、规格、质量等内容。甲方有权督促乙方工作并要求乙方更换不符合要求的货物。</w:t>
      </w:r>
    </w:p>
    <w:p w14:paraId="0A1BBC7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4.3 甲方有权要求乙方对缺陷部分予以修复，并按合同约定享有货物保修及其他合同约定的权利。</w:t>
      </w:r>
    </w:p>
    <w:p w14:paraId="598B352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4.4 甲方应当按照合同约定及时对交付的货物进行验收，未在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约定的期限内对乙方履约提出任何异议或者向乙方作出任何说明的，视为验收通过。</w:t>
      </w:r>
    </w:p>
    <w:p w14:paraId="6B3494C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4.5 甲方应当根据合同约定及时向乙方支付合同价款，不得以内部人员变更、履行内部付款流程等为由，拒绝或迟延支付。</w:t>
      </w:r>
    </w:p>
    <w:p w14:paraId="1805339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4.6 国家法律法规规定及</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约定应由甲方承担的其他义务和责任。</w:t>
      </w:r>
    </w:p>
    <w:p w14:paraId="38C6CF3E">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5. 乙方的权利和义务</w:t>
      </w:r>
    </w:p>
    <w:p w14:paraId="3363B1F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 签署合同后，乙方应确定项目负责人（或项目联系人），负责与本合同有关的事务。</w:t>
      </w:r>
    </w:p>
    <w:p w14:paraId="48EA829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D3E664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5.3乙方有权根据合同约定向甲方收取合同价款。</w:t>
      </w:r>
    </w:p>
    <w:p w14:paraId="2A6A634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5.4国家法律法规规定及</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约定应由乙方承担的其他义务和责任。</w:t>
      </w:r>
    </w:p>
    <w:p w14:paraId="6DD5DE11">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6.合同履行</w:t>
      </w:r>
    </w:p>
    <w:p w14:paraId="7810F8C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 甲乙双方应当按照</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约定顺序履行合同义务；如果没有先后顺序的，应当同时履行。</w:t>
      </w:r>
    </w:p>
    <w:p w14:paraId="7198F65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 甲乙双方按照合同约定顺序履行合同义务时，应当先履行一方未履行的，后履行一方有权拒绝其履行请求。先履行一方履行不符合约定的，后履行一方有权拒绝其相应的履行请求。</w:t>
      </w:r>
    </w:p>
    <w:p w14:paraId="357281E8">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7. 货物包装、运输、保险和交付要求</w:t>
      </w:r>
    </w:p>
    <w:p w14:paraId="5B49193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7.1 本合同涉及商品包装、快递包装的，除</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另有约定外，包装应适应远距离运输、防潮、防震、防锈和防野蛮装卸等要求，确保货物安全无损地运抵</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约定的指定现场。</w:t>
      </w:r>
    </w:p>
    <w:p w14:paraId="72907A3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7.2 除</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另有约定外，乙方负责办理将货物运抵本合同规定的交货地点，并装卸、交付至甲方的一切运输事项，相关费用应包含在合同价款中。</w:t>
      </w:r>
    </w:p>
    <w:p w14:paraId="09685CC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7.3 货物保险要求按</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规定执行。</w:t>
      </w:r>
    </w:p>
    <w:p w14:paraId="35C77CF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A30DA0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7.5 乙方在运输到达之前应提前通知甲方，并提示货物运输装卸的注意事项，甲方配合乙方做好货物的接收工作。</w:t>
      </w:r>
    </w:p>
    <w:p w14:paraId="562E910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7.6 如因包装、运输问题导致货物损毁、丢失或者品质下降，甲方有权要求降价、换货、拒收部分或整批货物，由此产生的费用和损失，均由乙方承担。</w:t>
      </w:r>
    </w:p>
    <w:p w14:paraId="5BA8CD30">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8. 质量标准和保证</w:t>
      </w:r>
    </w:p>
    <w:p w14:paraId="1A28EA5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8.1 质量标准</w:t>
      </w:r>
    </w:p>
    <w:p w14:paraId="1DF4315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744FC3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（2）采用中华人民共和国法定计量单位。</w:t>
      </w:r>
    </w:p>
    <w:p w14:paraId="20CCE05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（3）乙方所提供的货物应符合国家有关安全、环保、卫生的规定。</w:t>
      </w:r>
    </w:p>
    <w:p w14:paraId="2D87C82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（4）乙方应向甲方提交所提供货物的技术文件，包括相应的中文技术文件，如：产品目录、图纸、操作手册、使用说明、维护手册或服务指南等。上述文件应包装好随货物一同发运。</w:t>
      </w:r>
    </w:p>
    <w:p w14:paraId="0B039CC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8.2 保证</w:t>
      </w:r>
    </w:p>
    <w:p w14:paraId="435FB1C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14E43E1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（2）在质量保证期内所发现的缺陷，甲方应尽快以书面形式通知乙方。</w:t>
      </w:r>
    </w:p>
    <w:p w14:paraId="70B0453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（3）乙方收到通知后，应在【政府采购合同专用条款】规定的响应时间内以合理的速度免费维修或更换有缺陷的货物或部件。</w:t>
      </w:r>
    </w:p>
    <w:p w14:paraId="2FBA698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（4）在质量保证期内，如果货物的质量或规格与合同不符，或证实货物是有缺陷的，包括潜在的缺陷或使用不符合要求的材料等，甲方可以根据本合同第15.1条规定以书面形式追究乙方的违约责任。</w:t>
      </w:r>
    </w:p>
    <w:p w14:paraId="1FC62D4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（5）乙方在约定的时间内未能弥补缺陷，甲方可采取必要的补救措施，但其风险和费用将由乙方承担，甲方根据合同约定对乙方行使的其他权利不受影响。</w:t>
      </w:r>
    </w:p>
    <w:p w14:paraId="701ECFBC">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9. 权利瑕疵担保</w:t>
      </w:r>
    </w:p>
    <w:p w14:paraId="270D30A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9.1 乙方保证对其出售的货物享有合法的权利。</w:t>
      </w:r>
    </w:p>
    <w:p w14:paraId="2632C4D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9.2 乙方保证在交付的货物上不存在抵押权等担保物权。</w:t>
      </w:r>
    </w:p>
    <w:p w14:paraId="525B3B1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9.3 如甲方使用上述货物构成对第三人侵权的，则由乙方承担全部责任。</w:t>
      </w:r>
    </w:p>
    <w:p w14:paraId="576F3836">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10. 知识产权保护</w:t>
      </w:r>
    </w:p>
    <w:p w14:paraId="790162F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435E22E1">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11. 保密义务</w:t>
      </w:r>
    </w:p>
    <w:p w14:paraId="6EF0504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中约定。</w:t>
      </w:r>
    </w:p>
    <w:p w14:paraId="437079EF">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12. 合同价款支付</w:t>
      </w:r>
    </w:p>
    <w:p w14:paraId="5E21951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12.1 合同价款支付按照国库集中支付制度及财政管理相关规定执行。</w:t>
      </w:r>
    </w:p>
    <w:p w14:paraId="178228A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中约定。</w:t>
      </w:r>
    </w:p>
    <w:p w14:paraId="04D2D9D8">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13. 履约保证金</w:t>
      </w:r>
    </w:p>
    <w:p w14:paraId="32E9C87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13.1 乙方应当以支票、汇票、本票或者金融机构、担保机构出具的保函等非现金形式提交。</w:t>
      </w:r>
    </w:p>
    <w:p w14:paraId="5DB90E0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13.2 如果乙方出现</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76EE4B0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13.3 甲方在项目通过验收后按照</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规定的时间内将履约保证金退还乙方；逾期退还的，乙方可要求甲方支付违约金，违约金按照</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规定支付。</w:t>
      </w:r>
    </w:p>
    <w:p w14:paraId="22938A3E">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14. 售后服务</w:t>
      </w:r>
    </w:p>
    <w:p w14:paraId="0FBF1A6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14.1 除项目不涉及或采购活动中明确约定无须承担外，乙方还应提供下列服务：</w:t>
      </w:r>
    </w:p>
    <w:p w14:paraId="128E7BB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（1）货物的现场移动、安装、调试、启动监督及技术支持；</w:t>
      </w:r>
    </w:p>
    <w:p w14:paraId="376DB1E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（2）提供货物组装和维修所需的专用工具和辅助材料；</w:t>
      </w:r>
    </w:p>
    <w:p w14:paraId="598A60D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约定的期限内对所有的货物实施运行监督、维修，但前提条件是该服务并不能免除乙方在质量保证期内所承担的义务；</w:t>
      </w:r>
    </w:p>
    <w:p w14:paraId="61FDC51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（4）在制造商所在地或指定现场就货物的安装、启动、运营、维护、废弃处置等对甲方操作人员进行培训；</w:t>
      </w:r>
    </w:p>
    <w:p w14:paraId="41D917B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（5）依照法律、行政法规的规定或者按照</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约定，货物在有效使用年限届满后应予回收的，乙方负有自行或者委托第三人对货物予以回收的义务；</w:t>
      </w:r>
    </w:p>
    <w:p w14:paraId="03AEC8B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规定由乙方提供的其他服务。</w:t>
      </w:r>
    </w:p>
    <w:p w14:paraId="131203D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14.2 乙方提供的售后服务的费用已包含在合同价款中，甲方不再另行支付。</w:t>
      </w:r>
    </w:p>
    <w:p w14:paraId="1D2A3128">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15. 违约责任</w:t>
      </w:r>
    </w:p>
    <w:p w14:paraId="3374231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15.1质量瑕疵的违约责任</w:t>
      </w:r>
    </w:p>
    <w:p w14:paraId="509A552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乙方提供的产品不符合合同约定的质量标准或存在产品质量缺陷，甲方有权要求乙方根据</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要求及时修理、重作、更换，并承担由此给甲方造成的损失。</w:t>
      </w:r>
    </w:p>
    <w:p w14:paraId="311A8D5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15.2 迟延交货的违约责任</w:t>
      </w:r>
    </w:p>
    <w:p w14:paraId="60016A5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6A26FB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（2）如果乙方没有按照合同规定的时间交货和提供相关服务，甲方有权从货款中扣除误期赔偿费而不影响合同项下的其他补救方法，赔偿费按</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规定执行。如果涉及公共利益，且赔偿金额无法弥补公共利益损失，甲方可要求继续履行或者采取其他补救措施。</w:t>
      </w:r>
    </w:p>
    <w:p w14:paraId="64CBDB6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15.3 迟延支付的违约责任</w:t>
      </w:r>
    </w:p>
    <w:p w14:paraId="042CCC9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甲方存在迟延支付乙方合同款项的，应当承担</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规定的逾期付款利息。</w:t>
      </w:r>
    </w:p>
    <w:p w14:paraId="202891B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15.4其他违约责任根据项目实际需要按</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规定执行。</w:t>
      </w:r>
    </w:p>
    <w:p w14:paraId="15F40944">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16.合同变更、中止与终止</w:t>
      </w:r>
    </w:p>
    <w:p w14:paraId="22E4924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16.1合同的变更</w:t>
      </w:r>
    </w:p>
    <w:p w14:paraId="73C9458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政府采购合同履行中，在不改变合同其他条款的前提下，甲方可以在合同价款10%的范围内追加与合同标的相同的货物，并就此与乙方协商一致后签订补充协议。</w:t>
      </w:r>
    </w:p>
    <w:p w14:paraId="014BBA7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16.2合同的中止</w:t>
      </w:r>
    </w:p>
    <w:p w14:paraId="1010373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（1）合同履行过程中因供应商就采购文件、采购过程或结果提起投诉的，甲方认为有必要的，可以中止合同的履行。</w:t>
      </w:r>
    </w:p>
    <w:p w14:paraId="5276897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DAA8ED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（3）乙方分立、合并或者变更住所的，应当及时以书面形式告知甲方。乙方没有及时告知甲方，致使合同履行发生困难的，甲方可以中止合同履行并要求乙方承担由此给甲方造成的损失。</w:t>
      </w:r>
    </w:p>
    <w:p w14:paraId="7FCC3C9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（4）甲方不得以行政区划调整、政府换届、机构或者职能调整以及相关责任人更替为由中止合同。</w:t>
      </w:r>
    </w:p>
    <w:p w14:paraId="74952E8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16.3合同的终止</w:t>
      </w:r>
    </w:p>
    <w:p w14:paraId="7DE715D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（1）合同因有效期限届满而终止；</w:t>
      </w:r>
    </w:p>
    <w:p w14:paraId="3FDE98C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（2）乙方未按合同约定履行，构成根本性违约的，甲方有权终止合同，并追究乙方的违约责任。</w:t>
      </w:r>
    </w:p>
    <w:p w14:paraId="47CEBA0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16.4 涉及国家利益、社会公共利益的情形</w:t>
      </w:r>
    </w:p>
    <w:p w14:paraId="68697D2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政府采购合同继续履行将损害国家利益和社会公共利益的，双方当事人应当变更、中止或者终止合同。有过错的一方应当承担赔偿责任，双方都有过错的，各自承担相应的责任。</w:t>
      </w:r>
    </w:p>
    <w:p w14:paraId="04257716">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17. 合同分包</w:t>
      </w:r>
    </w:p>
    <w:p w14:paraId="4A29CDD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17.1 乙方不得将合同转包给其他供应商。涉及合同分包的，乙方应根据采购文件和投标（响应）文件规定进行合同分包。</w:t>
      </w:r>
    </w:p>
    <w:p w14:paraId="772CE88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17.2 乙方执行政府采购政策向中小企业依法分包的，乙方应当按采购文件和投标（响应）文件签订分包意向协议，分包意向协议属于本合同组成部分。</w:t>
      </w:r>
    </w:p>
    <w:p w14:paraId="241B610B">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18. 不可抗力</w:t>
      </w:r>
    </w:p>
    <w:p w14:paraId="15470DB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18.1 不可抗力是指合同双方不能预见、不能避免且不能克服的客观情况。</w:t>
      </w:r>
    </w:p>
    <w:p w14:paraId="7D2A318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18.2 任何一方对由于不可抗力造成的部分或全部不能履行合同不承担违约责任。但迟延履行后发生不可抗力的，不能免除责任。</w:t>
      </w:r>
    </w:p>
    <w:p w14:paraId="746E809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835C7D7">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19. 解决争议的方法</w:t>
      </w:r>
    </w:p>
    <w:p w14:paraId="6F925CE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7547B1C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19.2 选择仲裁的，应在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中明确仲裁机构及仲裁地；通过诉讼方式解决的，可以在</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中进一步约定选择与争议有实际联系的地点的人民法院管辖，但管辖法院的约定不得违反级别管辖和专属管辖的规定。</w:t>
      </w:r>
    </w:p>
    <w:p w14:paraId="49AF94F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19.3 如甲乙双方有争议的事项不影响合同其他部分的履行，在争议解决期间，合同其他部分应当继续履行。</w:t>
      </w:r>
    </w:p>
    <w:p w14:paraId="19F786A4">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20. 政府采购政策</w:t>
      </w:r>
    </w:p>
    <w:p w14:paraId="4C9F529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20.1 本合同应当按照规定执行政府采购政策。</w:t>
      </w:r>
    </w:p>
    <w:p w14:paraId="53485C8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FE2B02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00C46AD">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21. 法律适用</w:t>
      </w:r>
    </w:p>
    <w:p w14:paraId="4AE6882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21.1 本合同的订立、生效、解释、履行及与本合同有关的争议解决，均适用法律、行政法规。</w:t>
      </w:r>
    </w:p>
    <w:p w14:paraId="20945644">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21.2 本合同条款与法律、行政法规的强制性规定不一致的，双方当事人应按照法律、行政法规的强制性规定修改本合同的相关条款。</w:t>
      </w:r>
    </w:p>
    <w:p w14:paraId="441361C6">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22. 通知</w:t>
      </w:r>
    </w:p>
    <w:p w14:paraId="3906CDF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22.1 本合同任何一方向对方发出的通知、信件、数据电文等，应当发送至本合同第一部分《政府采购合同协议书》所约定的通讯地址、联系人、联系电话或电子邮箱。</w:t>
      </w:r>
    </w:p>
    <w:p w14:paraId="2402E31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 一方当事人变更名称、住所、联系人、联系电话或电子邮箱等信息的，应当在变更后3日内及时书面通知对方，对方实际收到变更通知前的送达仍为有效送达。</w:t>
      </w:r>
    </w:p>
    <w:p w14:paraId="247F761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22.3本合同一方给另一方的通知均应采用书面形式，传真或快递送到本合同中规定的对方的地址和办理签收手续。</w:t>
      </w:r>
    </w:p>
    <w:p w14:paraId="58DF06B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22.4通知以送达之日或通知书中规定的生效之日起生效，两者中以较迟之日为准。</w:t>
      </w:r>
    </w:p>
    <w:p w14:paraId="25B52B57">
      <w:pPr>
        <w:pStyle w:val="16"/>
        <w:jc w:val="left"/>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23.合同未尽事项</w:t>
      </w:r>
    </w:p>
    <w:p w14:paraId="37DCEC0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23.1合同未尽事项见</w:t>
      </w:r>
      <w:r>
        <w:rPr>
          <w:rFonts w:hint="eastAsia" w:asciiTheme="minorEastAsia" w:hAnsiTheme="minorEastAsia" w:eastAsiaTheme="minorEastAsia" w:cstheme="minorEastAsia"/>
          <w:b/>
          <w:color w:val="auto"/>
          <w:sz w:val="24"/>
          <w:szCs w:val="24"/>
        </w:rPr>
        <w:t>【政府采购合同专用条款】</w:t>
      </w:r>
      <w:r>
        <w:rPr>
          <w:rFonts w:hint="eastAsia" w:asciiTheme="minorEastAsia" w:hAnsiTheme="minorEastAsia" w:eastAsiaTheme="minorEastAsia" w:cstheme="minorEastAsia"/>
          <w:color w:val="auto"/>
          <w:sz w:val="24"/>
          <w:szCs w:val="24"/>
        </w:rPr>
        <w:t>。</w:t>
      </w:r>
    </w:p>
    <w:p w14:paraId="7C30D2D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23.2 合同附件与合同正文具有同等的法律效力。</w:t>
      </w:r>
    </w:p>
    <w:p w14:paraId="2AE294C1">
      <w:pPr>
        <w:pStyle w:val="16"/>
        <w:jc w:val="center"/>
        <w:outlineLvl w:val="3"/>
        <w:rPr>
          <w:rFonts w:ascii="宋体" w:hAnsi="宋体" w:eastAsia="宋体" w:cs="宋体"/>
          <w:b/>
          <w:color w:val="auto"/>
          <w:sz w:val="28"/>
          <w:szCs w:val="28"/>
          <w:highlight w:val="none"/>
          <w:lang w:bidi="ar-SA"/>
        </w:rPr>
      </w:pPr>
      <w:r>
        <w:rPr>
          <w:rFonts w:ascii="宋体" w:hAnsi="宋体" w:eastAsia="宋体" w:cs="宋体"/>
          <w:b/>
          <w:color w:val="auto"/>
          <w:sz w:val="28"/>
          <w:szCs w:val="28"/>
          <w:highlight w:val="none"/>
          <w:lang w:bidi="ar-SA"/>
        </w:rPr>
        <w:t>第三节 政府采购合同专用条款</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3363"/>
      </w:tblGrid>
      <w:tr w14:paraId="5EE3A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7AA9D7E">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第1.2（6）项</w:t>
            </w:r>
          </w:p>
        </w:tc>
        <w:tc>
          <w:tcPr>
            <w:tcW w:w="2769" w:type="dxa"/>
          </w:tcPr>
          <w:p w14:paraId="2C75CFF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联合体具体要求</w:t>
            </w:r>
          </w:p>
        </w:tc>
        <w:tc>
          <w:tcPr>
            <w:tcW w:w="3363" w:type="dxa"/>
          </w:tcPr>
          <w:p w14:paraId="3D68B1A3">
            <w:pPr>
              <w:pStyle w:val="16"/>
              <w:jc w:val="left"/>
              <w:rPr>
                <w:rFonts w:hint="eastAsia" w:asciiTheme="minorEastAsia" w:hAnsiTheme="minorEastAsia" w:eastAsiaTheme="minorEastAsia" w:cstheme="minorEastAsia"/>
                <w:color w:val="auto"/>
                <w:sz w:val="24"/>
                <w:szCs w:val="24"/>
              </w:rPr>
            </w:pPr>
          </w:p>
        </w:tc>
      </w:tr>
      <w:tr w14:paraId="69303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1E5120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第1.2（7）项</w:t>
            </w:r>
          </w:p>
        </w:tc>
        <w:tc>
          <w:tcPr>
            <w:tcW w:w="2769" w:type="dxa"/>
          </w:tcPr>
          <w:p w14:paraId="49E0EBD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其他术语解释</w:t>
            </w:r>
          </w:p>
        </w:tc>
        <w:tc>
          <w:tcPr>
            <w:tcW w:w="3363" w:type="dxa"/>
          </w:tcPr>
          <w:p w14:paraId="09ACFE48">
            <w:pPr>
              <w:pStyle w:val="16"/>
              <w:jc w:val="left"/>
              <w:rPr>
                <w:rFonts w:hint="eastAsia" w:asciiTheme="minorEastAsia" w:hAnsiTheme="minorEastAsia" w:eastAsiaTheme="minorEastAsia" w:cstheme="minorEastAsia"/>
                <w:color w:val="auto"/>
                <w:sz w:val="24"/>
                <w:szCs w:val="24"/>
              </w:rPr>
            </w:pPr>
          </w:p>
        </w:tc>
      </w:tr>
      <w:tr w14:paraId="1C61B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89CE9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第4.4款</w:t>
            </w:r>
          </w:p>
        </w:tc>
        <w:tc>
          <w:tcPr>
            <w:tcW w:w="2769" w:type="dxa"/>
          </w:tcPr>
          <w:p w14:paraId="273E0A7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履约验收中甲方提出异议或作出说明的期限</w:t>
            </w:r>
          </w:p>
        </w:tc>
        <w:tc>
          <w:tcPr>
            <w:tcW w:w="3363" w:type="dxa"/>
          </w:tcPr>
          <w:p w14:paraId="42A90A46">
            <w:pPr>
              <w:pStyle w:val="16"/>
              <w:jc w:val="left"/>
              <w:rPr>
                <w:rFonts w:hint="eastAsia" w:asciiTheme="minorEastAsia" w:hAnsiTheme="minorEastAsia" w:eastAsiaTheme="minorEastAsia" w:cstheme="minorEastAsia"/>
                <w:color w:val="auto"/>
                <w:sz w:val="24"/>
                <w:szCs w:val="24"/>
              </w:rPr>
            </w:pPr>
          </w:p>
        </w:tc>
      </w:tr>
      <w:tr w14:paraId="6070D2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6AE06D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第4.6款</w:t>
            </w:r>
          </w:p>
        </w:tc>
        <w:tc>
          <w:tcPr>
            <w:tcW w:w="2769" w:type="dxa"/>
          </w:tcPr>
          <w:p w14:paraId="6F8BD8C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约定甲方承担的其他义务和责任</w:t>
            </w:r>
          </w:p>
        </w:tc>
        <w:tc>
          <w:tcPr>
            <w:tcW w:w="3363" w:type="dxa"/>
          </w:tcPr>
          <w:p w14:paraId="2D140357">
            <w:pPr>
              <w:pStyle w:val="16"/>
              <w:jc w:val="left"/>
              <w:rPr>
                <w:rFonts w:hint="eastAsia" w:asciiTheme="minorEastAsia" w:hAnsiTheme="minorEastAsia" w:eastAsiaTheme="minorEastAsia" w:cstheme="minorEastAsia"/>
                <w:color w:val="auto"/>
                <w:sz w:val="24"/>
                <w:szCs w:val="24"/>
              </w:rPr>
            </w:pPr>
          </w:p>
        </w:tc>
      </w:tr>
      <w:tr w14:paraId="0293D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3E32AE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第5.4款</w:t>
            </w:r>
          </w:p>
        </w:tc>
        <w:tc>
          <w:tcPr>
            <w:tcW w:w="2769" w:type="dxa"/>
          </w:tcPr>
          <w:p w14:paraId="71FEEEA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约定乙方承担的其他义务和责任</w:t>
            </w:r>
          </w:p>
        </w:tc>
        <w:tc>
          <w:tcPr>
            <w:tcW w:w="3363" w:type="dxa"/>
          </w:tcPr>
          <w:p w14:paraId="25A4CC1B">
            <w:pPr>
              <w:pStyle w:val="16"/>
              <w:jc w:val="left"/>
              <w:rPr>
                <w:rFonts w:hint="eastAsia" w:asciiTheme="minorEastAsia" w:hAnsiTheme="minorEastAsia" w:eastAsiaTheme="minorEastAsia" w:cstheme="minorEastAsia"/>
                <w:color w:val="auto"/>
                <w:sz w:val="24"/>
                <w:szCs w:val="24"/>
              </w:rPr>
            </w:pPr>
          </w:p>
        </w:tc>
      </w:tr>
      <w:tr w14:paraId="3AA5B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CF176A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第6.1款</w:t>
            </w:r>
          </w:p>
        </w:tc>
        <w:tc>
          <w:tcPr>
            <w:tcW w:w="2769" w:type="dxa"/>
          </w:tcPr>
          <w:p w14:paraId="55EE71C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履行合同义务的顺序</w:t>
            </w:r>
          </w:p>
        </w:tc>
        <w:tc>
          <w:tcPr>
            <w:tcW w:w="3363" w:type="dxa"/>
          </w:tcPr>
          <w:p w14:paraId="6A32680D">
            <w:pPr>
              <w:pStyle w:val="16"/>
              <w:jc w:val="left"/>
              <w:rPr>
                <w:rFonts w:hint="eastAsia" w:asciiTheme="minorEastAsia" w:hAnsiTheme="minorEastAsia" w:eastAsiaTheme="minorEastAsia" w:cstheme="minorEastAsia"/>
                <w:color w:val="auto"/>
                <w:sz w:val="24"/>
                <w:szCs w:val="24"/>
              </w:rPr>
            </w:pPr>
          </w:p>
        </w:tc>
      </w:tr>
      <w:tr w14:paraId="0CB52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2A8C4E4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第7.1款</w:t>
            </w:r>
          </w:p>
        </w:tc>
        <w:tc>
          <w:tcPr>
            <w:tcW w:w="2769" w:type="dxa"/>
          </w:tcPr>
          <w:p w14:paraId="2B9EAD12">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包装特殊要求</w:t>
            </w:r>
          </w:p>
        </w:tc>
        <w:tc>
          <w:tcPr>
            <w:tcW w:w="3363" w:type="dxa"/>
          </w:tcPr>
          <w:p w14:paraId="7CC7892D">
            <w:pPr>
              <w:pStyle w:val="16"/>
              <w:jc w:val="left"/>
              <w:rPr>
                <w:rFonts w:hint="eastAsia" w:asciiTheme="minorEastAsia" w:hAnsiTheme="minorEastAsia" w:eastAsiaTheme="minorEastAsia" w:cstheme="minorEastAsia"/>
                <w:color w:val="auto"/>
                <w:sz w:val="24"/>
                <w:szCs w:val="24"/>
              </w:rPr>
            </w:pPr>
          </w:p>
        </w:tc>
      </w:tr>
      <w:tr w14:paraId="260632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42B99C85">
            <w:pPr>
              <w:rPr>
                <w:rFonts w:hint="eastAsia" w:asciiTheme="minorEastAsia" w:hAnsiTheme="minorEastAsia" w:eastAsiaTheme="minorEastAsia" w:cstheme="minorEastAsia"/>
                <w:color w:val="auto"/>
                <w:sz w:val="24"/>
                <w:szCs w:val="24"/>
              </w:rPr>
            </w:pPr>
          </w:p>
        </w:tc>
        <w:tc>
          <w:tcPr>
            <w:tcW w:w="2769" w:type="dxa"/>
          </w:tcPr>
          <w:p w14:paraId="448A924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指定现场</w:t>
            </w:r>
          </w:p>
        </w:tc>
        <w:tc>
          <w:tcPr>
            <w:tcW w:w="3363" w:type="dxa"/>
          </w:tcPr>
          <w:p w14:paraId="0EF17875">
            <w:pPr>
              <w:pStyle w:val="16"/>
              <w:jc w:val="left"/>
              <w:rPr>
                <w:rFonts w:hint="eastAsia" w:asciiTheme="minorEastAsia" w:hAnsiTheme="minorEastAsia" w:eastAsiaTheme="minorEastAsia" w:cstheme="minorEastAsia"/>
                <w:color w:val="auto"/>
                <w:sz w:val="24"/>
                <w:szCs w:val="24"/>
              </w:rPr>
            </w:pPr>
          </w:p>
        </w:tc>
      </w:tr>
      <w:tr w14:paraId="26119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7E9C094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第7.2款</w:t>
            </w:r>
          </w:p>
        </w:tc>
        <w:tc>
          <w:tcPr>
            <w:tcW w:w="2769" w:type="dxa"/>
          </w:tcPr>
          <w:p w14:paraId="6348C04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运输特殊要求</w:t>
            </w:r>
          </w:p>
        </w:tc>
        <w:tc>
          <w:tcPr>
            <w:tcW w:w="3363" w:type="dxa"/>
          </w:tcPr>
          <w:p w14:paraId="67B1020A">
            <w:pPr>
              <w:pStyle w:val="16"/>
              <w:jc w:val="left"/>
              <w:rPr>
                <w:rFonts w:hint="eastAsia" w:asciiTheme="minorEastAsia" w:hAnsiTheme="minorEastAsia" w:eastAsiaTheme="minorEastAsia" w:cstheme="minorEastAsia"/>
                <w:color w:val="auto"/>
                <w:sz w:val="24"/>
                <w:szCs w:val="24"/>
              </w:rPr>
            </w:pPr>
          </w:p>
        </w:tc>
      </w:tr>
      <w:tr w14:paraId="19ED9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0996711">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第7.3款</w:t>
            </w:r>
          </w:p>
        </w:tc>
        <w:tc>
          <w:tcPr>
            <w:tcW w:w="2769" w:type="dxa"/>
          </w:tcPr>
          <w:p w14:paraId="444238A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保险要求</w:t>
            </w:r>
          </w:p>
        </w:tc>
        <w:tc>
          <w:tcPr>
            <w:tcW w:w="3363" w:type="dxa"/>
          </w:tcPr>
          <w:p w14:paraId="5BD56D77">
            <w:pPr>
              <w:pStyle w:val="16"/>
              <w:jc w:val="left"/>
              <w:rPr>
                <w:rFonts w:hint="eastAsia" w:asciiTheme="minorEastAsia" w:hAnsiTheme="minorEastAsia" w:eastAsiaTheme="minorEastAsia" w:cstheme="minorEastAsia"/>
                <w:color w:val="auto"/>
                <w:sz w:val="24"/>
                <w:szCs w:val="24"/>
              </w:rPr>
            </w:pPr>
          </w:p>
        </w:tc>
      </w:tr>
      <w:tr w14:paraId="78D06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D86A6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第8.2（1）项</w:t>
            </w:r>
          </w:p>
        </w:tc>
        <w:tc>
          <w:tcPr>
            <w:tcW w:w="2769" w:type="dxa"/>
          </w:tcPr>
          <w:p w14:paraId="3C042B3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质量保证期</w:t>
            </w:r>
          </w:p>
        </w:tc>
        <w:tc>
          <w:tcPr>
            <w:tcW w:w="3363" w:type="dxa"/>
          </w:tcPr>
          <w:p w14:paraId="61118DA1">
            <w:pPr>
              <w:rPr>
                <w:rFonts w:hint="eastAsia" w:asciiTheme="minorEastAsia" w:hAnsiTheme="minorEastAsia" w:eastAsiaTheme="minorEastAsia" w:cstheme="minorEastAsia"/>
                <w:color w:val="auto"/>
                <w:sz w:val="24"/>
                <w:szCs w:val="24"/>
              </w:rPr>
            </w:pPr>
          </w:p>
        </w:tc>
      </w:tr>
      <w:tr w14:paraId="4D989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4DBE2E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第8.2（3）项</w:t>
            </w:r>
          </w:p>
        </w:tc>
        <w:tc>
          <w:tcPr>
            <w:tcW w:w="2769" w:type="dxa"/>
          </w:tcPr>
          <w:p w14:paraId="4B8C569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货物质量缺陷响应时间</w:t>
            </w:r>
          </w:p>
        </w:tc>
        <w:tc>
          <w:tcPr>
            <w:tcW w:w="3363" w:type="dxa"/>
          </w:tcPr>
          <w:p w14:paraId="11F3BA91">
            <w:pPr>
              <w:rPr>
                <w:rFonts w:hint="eastAsia" w:asciiTheme="minorEastAsia" w:hAnsiTheme="minorEastAsia" w:eastAsiaTheme="minorEastAsia" w:cstheme="minorEastAsia"/>
                <w:color w:val="auto"/>
                <w:sz w:val="24"/>
                <w:szCs w:val="24"/>
              </w:rPr>
            </w:pPr>
          </w:p>
        </w:tc>
      </w:tr>
      <w:tr w14:paraId="29AEDE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05DD933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第11.1款</w:t>
            </w:r>
          </w:p>
        </w:tc>
        <w:tc>
          <w:tcPr>
            <w:tcW w:w="2769" w:type="dxa"/>
          </w:tcPr>
          <w:p w14:paraId="6CD118B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其他应当保密的信息</w:t>
            </w:r>
          </w:p>
        </w:tc>
        <w:tc>
          <w:tcPr>
            <w:tcW w:w="3363" w:type="dxa"/>
          </w:tcPr>
          <w:p w14:paraId="06A268D9">
            <w:pPr>
              <w:rPr>
                <w:rFonts w:hint="eastAsia" w:asciiTheme="minorEastAsia" w:hAnsiTheme="minorEastAsia" w:eastAsiaTheme="minorEastAsia" w:cstheme="minorEastAsia"/>
                <w:color w:val="auto"/>
                <w:sz w:val="24"/>
                <w:szCs w:val="24"/>
              </w:rPr>
            </w:pPr>
          </w:p>
        </w:tc>
      </w:tr>
      <w:tr w14:paraId="0837F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0263C1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第12.2款</w:t>
            </w:r>
          </w:p>
        </w:tc>
        <w:tc>
          <w:tcPr>
            <w:tcW w:w="2769" w:type="dxa"/>
          </w:tcPr>
          <w:p w14:paraId="0327B6E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合同价款支付时间</w:t>
            </w:r>
          </w:p>
        </w:tc>
        <w:tc>
          <w:tcPr>
            <w:tcW w:w="3363" w:type="dxa"/>
          </w:tcPr>
          <w:p w14:paraId="61B95233">
            <w:pPr>
              <w:rPr>
                <w:rFonts w:hint="eastAsia" w:asciiTheme="minorEastAsia" w:hAnsiTheme="minorEastAsia" w:eastAsiaTheme="minorEastAsia" w:cstheme="minorEastAsia"/>
                <w:color w:val="auto"/>
                <w:sz w:val="24"/>
                <w:szCs w:val="24"/>
              </w:rPr>
            </w:pPr>
          </w:p>
        </w:tc>
      </w:tr>
      <w:tr w14:paraId="1929C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69949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第13.2款</w:t>
            </w:r>
          </w:p>
        </w:tc>
        <w:tc>
          <w:tcPr>
            <w:tcW w:w="2769" w:type="dxa"/>
          </w:tcPr>
          <w:p w14:paraId="6C046ABD">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履约保证金不予退还的情形</w:t>
            </w:r>
          </w:p>
        </w:tc>
        <w:tc>
          <w:tcPr>
            <w:tcW w:w="3363" w:type="dxa"/>
          </w:tcPr>
          <w:p w14:paraId="33D795B8">
            <w:pPr>
              <w:rPr>
                <w:rFonts w:hint="eastAsia" w:asciiTheme="minorEastAsia" w:hAnsiTheme="minorEastAsia" w:eastAsiaTheme="minorEastAsia" w:cstheme="minorEastAsia"/>
                <w:color w:val="auto"/>
                <w:sz w:val="24"/>
                <w:szCs w:val="24"/>
              </w:rPr>
            </w:pPr>
          </w:p>
        </w:tc>
      </w:tr>
      <w:tr w14:paraId="38C9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71B619C5">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第13.3款</w:t>
            </w:r>
          </w:p>
        </w:tc>
        <w:tc>
          <w:tcPr>
            <w:tcW w:w="2769" w:type="dxa"/>
          </w:tcPr>
          <w:p w14:paraId="1DD66EC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履约保证金退还时间及逾期退还的违约金</w:t>
            </w:r>
          </w:p>
        </w:tc>
        <w:tc>
          <w:tcPr>
            <w:tcW w:w="3363" w:type="dxa"/>
          </w:tcPr>
          <w:p w14:paraId="030EB96D">
            <w:pPr>
              <w:rPr>
                <w:rFonts w:hint="eastAsia" w:asciiTheme="minorEastAsia" w:hAnsiTheme="minorEastAsia" w:eastAsiaTheme="minorEastAsia" w:cstheme="minorEastAsia"/>
                <w:color w:val="auto"/>
                <w:sz w:val="24"/>
                <w:szCs w:val="24"/>
              </w:rPr>
            </w:pPr>
          </w:p>
        </w:tc>
      </w:tr>
      <w:tr w14:paraId="5396F8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AC5ED5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第14.1（3）项</w:t>
            </w:r>
          </w:p>
        </w:tc>
        <w:tc>
          <w:tcPr>
            <w:tcW w:w="2769" w:type="dxa"/>
          </w:tcPr>
          <w:p w14:paraId="3D78A94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运行监督、维修期限</w:t>
            </w:r>
          </w:p>
        </w:tc>
        <w:tc>
          <w:tcPr>
            <w:tcW w:w="3363" w:type="dxa"/>
          </w:tcPr>
          <w:p w14:paraId="6E20300B">
            <w:pPr>
              <w:rPr>
                <w:rFonts w:hint="eastAsia" w:asciiTheme="minorEastAsia" w:hAnsiTheme="minorEastAsia" w:eastAsiaTheme="minorEastAsia" w:cstheme="minorEastAsia"/>
                <w:color w:val="auto"/>
                <w:sz w:val="24"/>
                <w:szCs w:val="24"/>
              </w:rPr>
            </w:pPr>
          </w:p>
        </w:tc>
      </w:tr>
      <w:tr w14:paraId="00141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738EDF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第14.1（5）项</w:t>
            </w:r>
          </w:p>
        </w:tc>
        <w:tc>
          <w:tcPr>
            <w:tcW w:w="2769" w:type="dxa"/>
          </w:tcPr>
          <w:p w14:paraId="14E1972A">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货物回收的约定</w:t>
            </w:r>
          </w:p>
        </w:tc>
        <w:tc>
          <w:tcPr>
            <w:tcW w:w="3363" w:type="dxa"/>
          </w:tcPr>
          <w:p w14:paraId="626F7789">
            <w:pPr>
              <w:rPr>
                <w:rFonts w:hint="eastAsia" w:asciiTheme="minorEastAsia" w:hAnsiTheme="minorEastAsia" w:eastAsiaTheme="minorEastAsia" w:cstheme="minorEastAsia"/>
                <w:color w:val="auto"/>
                <w:sz w:val="24"/>
                <w:szCs w:val="24"/>
              </w:rPr>
            </w:pPr>
          </w:p>
        </w:tc>
      </w:tr>
      <w:tr w14:paraId="7999F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B15B3C8">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第14.1（6）项</w:t>
            </w:r>
          </w:p>
        </w:tc>
        <w:tc>
          <w:tcPr>
            <w:tcW w:w="2769" w:type="dxa"/>
          </w:tcPr>
          <w:p w14:paraId="197D39F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乙方提供的其他服务</w:t>
            </w:r>
          </w:p>
        </w:tc>
        <w:tc>
          <w:tcPr>
            <w:tcW w:w="3363" w:type="dxa"/>
          </w:tcPr>
          <w:p w14:paraId="30A8215C">
            <w:pPr>
              <w:rPr>
                <w:rFonts w:hint="eastAsia" w:asciiTheme="minorEastAsia" w:hAnsiTheme="minorEastAsia" w:eastAsiaTheme="minorEastAsia" w:cstheme="minorEastAsia"/>
                <w:color w:val="auto"/>
                <w:sz w:val="24"/>
                <w:szCs w:val="24"/>
              </w:rPr>
            </w:pPr>
          </w:p>
        </w:tc>
      </w:tr>
      <w:tr w14:paraId="65D4D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E345390">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第15.1款</w:t>
            </w:r>
          </w:p>
        </w:tc>
        <w:tc>
          <w:tcPr>
            <w:tcW w:w="2769" w:type="dxa"/>
          </w:tcPr>
          <w:p w14:paraId="322BA49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修理、重作、更换相关具体规定</w:t>
            </w:r>
          </w:p>
        </w:tc>
        <w:tc>
          <w:tcPr>
            <w:tcW w:w="3363" w:type="dxa"/>
          </w:tcPr>
          <w:p w14:paraId="4281E349">
            <w:pPr>
              <w:rPr>
                <w:rFonts w:hint="eastAsia" w:asciiTheme="minorEastAsia" w:hAnsiTheme="minorEastAsia" w:eastAsiaTheme="minorEastAsia" w:cstheme="minorEastAsia"/>
                <w:color w:val="auto"/>
                <w:sz w:val="24"/>
                <w:szCs w:val="24"/>
              </w:rPr>
            </w:pPr>
          </w:p>
        </w:tc>
      </w:tr>
      <w:tr w14:paraId="6D5338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7BE447">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第15.2（2）项</w:t>
            </w:r>
          </w:p>
        </w:tc>
        <w:tc>
          <w:tcPr>
            <w:tcW w:w="2769" w:type="dxa"/>
          </w:tcPr>
          <w:p w14:paraId="2CB9770F">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迟延交货赔偿费</w:t>
            </w:r>
          </w:p>
        </w:tc>
        <w:tc>
          <w:tcPr>
            <w:tcW w:w="3363" w:type="dxa"/>
          </w:tcPr>
          <w:p w14:paraId="2ABF3761">
            <w:pPr>
              <w:rPr>
                <w:rFonts w:hint="eastAsia" w:asciiTheme="minorEastAsia" w:hAnsiTheme="minorEastAsia" w:eastAsiaTheme="minorEastAsia" w:cstheme="minorEastAsia"/>
                <w:color w:val="auto"/>
                <w:sz w:val="24"/>
                <w:szCs w:val="24"/>
              </w:rPr>
            </w:pPr>
          </w:p>
        </w:tc>
      </w:tr>
      <w:tr w14:paraId="3235D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8D2D026">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第15.3款</w:t>
            </w:r>
          </w:p>
        </w:tc>
        <w:tc>
          <w:tcPr>
            <w:tcW w:w="2769" w:type="dxa"/>
          </w:tcPr>
          <w:p w14:paraId="48BD392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逾期付款利息</w:t>
            </w:r>
          </w:p>
        </w:tc>
        <w:tc>
          <w:tcPr>
            <w:tcW w:w="3363" w:type="dxa"/>
          </w:tcPr>
          <w:p w14:paraId="2E4BB7F7">
            <w:pPr>
              <w:rPr>
                <w:rFonts w:hint="eastAsia" w:asciiTheme="minorEastAsia" w:hAnsiTheme="minorEastAsia" w:eastAsiaTheme="minorEastAsia" w:cstheme="minorEastAsia"/>
                <w:color w:val="auto"/>
                <w:sz w:val="24"/>
                <w:szCs w:val="24"/>
              </w:rPr>
            </w:pPr>
          </w:p>
        </w:tc>
      </w:tr>
      <w:tr w14:paraId="46554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D29D17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第15.4款</w:t>
            </w:r>
          </w:p>
        </w:tc>
        <w:tc>
          <w:tcPr>
            <w:tcW w:w="2769" w:type="dxa"/>
          </w:tcPr>
          <w:p w14:paraId="4EAA634B">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其他违约责任</w:t>
            </w:r>
          </w:p>
        </w:tc>
        <w:tc>
          <w:tcPr>
            <w:tcW w:w="3363" w:type="dxa"/>
          </w:tcPr>
          <w:p w14:paraId="01F954D9">
            <w:pPr>
              <w:rPr>
                <w:rFonts w:hint="eastAsia" w:asciiTheme="minorEastAsia" w:hAnsiTheme="minorEastAsia" w:eastAsiaTheme="minorEastAsia" w:cstheme="minorEastAsia"/>
                <w:color w:val="auto"/>
                <w:sz w:val="24"/>
                <w:szCs w:val="24"/>
              </w:rPr>
            </w:pPr>
          </w:p>
        </w:tc>
      </w:tr>
      <w:tr w14:paraId="7E288D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4BBC06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第19.2款</w:t>
            </w:r>
          </w:p>
        </w:tc>
        <w:tc>
          <w:tcPr>
            <w:tcW w:w="2769" w:type="dxa"/>
          </w:tcPr>
          <w:p w14:paraId="3D5636EC">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解决争议的方法</w:t>
            </w:r>
          </w:p>
        </w:tc>
        <w:tc>
          <w:tcPr>
            <w:tcW w:w="3363" w:type="dxa"/>
          </w:tcPr>
          <w:p w14:paraId="4B0BF501">
            <w:pPr>
              <w:pStyle w:val="16"/>
              <w:keepNext w:val="0"/>
              <w:keepLines w:val="0"/>
              <w:pageBreakBefore w:val="0"/>
              <w:widowControl/>
              <w:kinsoku/>
              <w:wordWrap w:val="0"/>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因本合同及合同有关事项发生的争议，按下列第____ 种方式解决：</w:t>
            </w:r>
          </w:p>
          <w:p w14:paraId="763DB9F5">
            <w:pPr>
              <w:pStyle w:val="16"/>
              <w:keepNext w:val="0"/>
              <w:keepLines w:val="0"/>
              <w:pageBreakBefore w:val="0"/>
              <w:widowControl/>
              <w:kinsoku/>
              <w:wordWrap w:val="0"/>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（1）向 __________________仲裁委员会申请仲裁，仲裁地点为 ____________ ；</w:t>
            </w:r>
          </w:p>
          <w:p w14:paraId="4CF6FD37">
            <w:pPr>
              <w:pStyle w:val="16"/>
              <w:keepNext w:val="0"/>
              <w:keepLines w:val="0"/>
              <w:pageBreakBefore w:val="0"/>
              <w:widowControl/>
              <w:kinsoku/>
              <w:wordWrap w:val="0"/>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（2）向__________________人民法院起诉。</w:t>
            </w:r>
          </w:p>
        </w:tc>
      </w:tr>
      <w:tr w14:paraId="7DDFA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0B57CD9">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第二节 第23.1款</w:t>
            </w:r>
          </w:p>
        </w:tc>
        <w:tc>
          <w:tcPr>
            <w:tcW w:w="2769" w:type="dxa"/>
          </w:tcPr>
          <w:p w14:paraId="58B9B023">
            <w:pPr>
              <w:pStyle w:val="16"/>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其他专用条款</w:t>
            </w:r>
          </w:p>
        </w:tc>
        <w:tc>
          <w:tcPr>
            <w:tcW w:w="3363" w:type="dxa"/>
          </w:tcPr>
          <w:p w14:paraId="65C89B8E">
            <w:pPr>
              <w:rPr>
                <w:rFonts w:hint="eastAsia" w:asciiTheme="minorEastAsia" w:hAnsiTheme="minorEastAsia" w:eastAsiaTheme="minorEastAsia" w:cstheme="minorEastAsia"/>
                <w:color w:val="auto"/>
                <w:sz w:val="24"/>
                <w:szCs w:val="24"/>
              </w:rPr>
            </w:pPr>
          </w:p>
        </w:tc>
      </w:tr>
    </w:tbl>
    <w:p w14:paraId="5A1692EC">
      <w:pPr>
        <w:pStyle w:val="16"/>
        <w:jc w:val="left"/>
        <w:rPr>
          <w:color w:val="auto"/>
        </w:rPr>
      </w:pPr>
      <w:r>
        <w:rPr>
          <w:rFonts w:ascii="仿宋_GB2312" w:hAnsi="仿宋_GB2312" w:eastAsia="仿宋_GB2312" w:cs="仿宋_GB2312"/>
          <w:color w:val="auto"/>
        </w:rPr>
        <w:t xml:space="preserve"> </w:t>
      </w:r>
      <w:r>
        <w:rPr>
          <w:rFonts w:ascii="仿宋_GB2312" w:hAnsi="仿宋_GB2312" w:eastAsia="仿宋_GB2312" w:cs="仿宋_GB2312"/>
          <w:color w:val="auto"/>
        </w:rPr>
        <w:br w:type="textWrapping"/>
      </w:r>
      <w:r>
        <w:rPr>
          <w:rFonts w:ascii="仿宋_GB2312" w:hAnsi="仿宋_GB2312" w:eastAsia="仿宋_GB2312" w:cs="仿宋_GB2312"/>
          <w:color w:val="auto"/>
        </w:rPr>
        <w:br w:type="page"/>
      </w:r>
    </w:p>
    <w:p w14:paraId="2B208835">
      <w:pPr>
        <w:pStyle w:val="16"/>
        <w:jc w:val="center"/>
        <w:outlineLvl w:val="1"/>
        <w:rPr>
          <w:rFonts w:hint="default" w:ascii="宋体" w:hAnsi="宋体" w:eastAsia="宋体" w:cs="宋体"/>
          <w:color w:val="auto"/>
          <w:sz w:val="32"/>
          <w:szCs w:val="32"/>
          <w:highlight w:val="none"/>
        </w:rPr>
      </w:pPr>
      <w:r>
        <w:rPr>
          <w:rFonts w:ascii="宋体" w:hAnsi="宋体" w:eastAsia="宋体" w:cs="宋体"/>
          <w:b/>
          <w:color w:val="auto"/>
          <w:sz w:val="32"/>
          <w:szCs w:val="32"/>
          <w:highlight w:val="none"/>
        </w:rPr>
        <w:t>第七章 电子投标文件格式</w:t>
      </w:r>
    </w:p>
    <w:p w14:paraId="5ABC19C4">
      <w:pPr>
        <w:pStyle w:val="16"/>
        <w:spacing w:line="36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编制说明</w:t>
      </w:r>
    </w:p>
    <w:p w14:paraId="01928B4F">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1、除招标文件另有规定外，本章中：</w:t>
      </w:r>
    </w:p>
    <w:p w14:paraId="1CB00C9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1.1涉及投标人的“全称”：</w:t>
      </w:r>
    </w:p>
    <w:p w14:paraId="488A73A3">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（1）不接受联合体投标的，指投标人的全称。</w:t>
      </w:r>
    </w:p>
    <w:p w14:paraId="5E9BA10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（2）接受联合体投标且投标人为联合体的，指牵头方的全称并加注（联合体牵头方），即应表述为：“牵头方的全称（联合体牵头方）”。</w:t>
      </w:r>
    </w:p>
    <w:p w14:paraId="3DE5D423">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1.2涉及投标人“加盖单位公章”：</w:t>
      </w:r>
    </w:p>
    <w:p w14:paraId="504845F9">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（1）不接受联合体投标的，指加盖投标人的单位公章。</w:t>
      </w:r>
    </w:p>
    <w:p w14:paraId="5EC6E2D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（2）接受联合体投标且投标人为联合体的，指加盖联合体牵头方的单位公章。</w:t>
      </w:r>
    </w:p>
    <w:p w14:paraId="1BE8F17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1.3涉及“投标人代表签字”：</w:t>
      </w:r>
    </w:p>
    <w:p w14:paraId="44DAC42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（1）不接受联合体投标的，指由投标人的单位负责人或其授权的委托代理人签字，由委托代理人签字的，应提供“单位授权书”。</w:t>
      </w:r>
    </w:p>
    <w:p w14:paraId="240C3EC3">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（2）接受联合体投标且投标人为联合体的，指由联合体牵头方的单位负责人或其授权的委托代理人签字，由委托代理人签字的，应提供“单位授权书”。</w:t>
      </w:r>
    </w:p>
    <w:p w14:paraId="5772C6EE">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1.4“其他组织”指合伙企业、非企业专业服务机构、个体工商户、农村承包经营户等。</w:t>
      </w:r>
    </w:p>
    <w:p w14:paraId="24D789C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1.5“自然人”指具有完全民事行为能力、能够承担民事责任和义务的中国公民。</w:t>
      </w:r>
    </w:p>
    <w:p w14:paraId="7CD65F0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2、除招标文件另有规定外，本章中“投标人的资格及资信证明文件”：</w:t>
      </w:r>
    </w:p>
    <w:p w14:paraId="24412575">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2.1投标人应按照招标文件第四章第1.3条第（2）款规定及本章规定进行编制，如有必要，可增加附页，附页作为资格及资信文件的组成部分。</w:t>
      </w:r>
    </w:p>
    <w:p w14:paraId="195E583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2.2接受联合体投标且投标人为联合体的，联合体中的各方均应按照本章第2.1条规定提交相应的全部资料。</w:t>
      </w:r>
    </w:p>
    <w:p w14:paraId="7334F3D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3、投标人对电子投标文件的索引应编制页码。</w:t>
      </w:r>
    </w:p>
    <w:p w14:paraId="1473C7C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4、本章提供格式仅供参考，投标人应根据自身实际情况制作电子投标文件。</w:t>
      </w:r>
    </w:p>
    <w:p w14:paraId="38DBB7AA">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0DFE133">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封面格式(资格及资信证明部分)</w:t>
      </w:r>
    </w:p>
    <w:p w14:paraId="577C4056">
      <w:pPr>
        <w:pStyle w:val="16"/>
        <w:jc w:val="center"/>
        <w:outlineLvl w:val="0"/>
        <w:rPr>
          <w:rFonts w:hint="default" w:ascii="宋体" w:hAnsi="宋体" w:eastAsia="宋体" w:cs="宋体"/>
          <w:color w:val="auto"/>
          <w:sz w:val="52"/>
          <w:szCs w:val="52"/>
          <w:highlight w:val="none"/>
        </w:rPr>
      </w:pPr>
      <w:r>
        <w:rPr>
          <w:rFonts w:ascii="宋体" w:hAnsi="宋体" w:eastAsia="宋体" w:cs="宋体"/>
          <w:b/>
          <w:color w:val="auto"/>
          <w:sz w:val="52"/>
          <w:szCs w:val="52"/>
          <w:highlight w:val="none"/>
        </w:rPr>
        <w:t>福建省政府采购投标文件</w:t>
      </w:r>
    </w:p>
    <w:p w14:paraId="303CB12D">
      <w:pPr>
        <w:pStyle w:val="16"/>
        <w:jc w:val="center"/>
        <w:outlineLvl w:val="0"/>
        <w:rPr>
          <w:rFonts w:hint="default" w:ascii="宋体" w:hAnsi="宋体" w:eastAsia="宋体" w:cs="宋体"/>
          <w:color w:val="auto"/>
          <w:sz w:val="44"/>
          <w:szCs w:val="44"/>
          <w:highlight w:val="none"/>
        </w:rPr>
      </w:pPr>
      <w:r>
        <w:rPr>
          <w:rFonts w:ascii="宋体" w:hAnsi="宋体" w:eastAsia="宋体" w:cs="宋体"/>
          <w:b/>
          <w:color w:val="auto"/>
          <w:sz w:val="52"/>
          <w:szCs w:val="52"/>
          <w:highlight w:val="none"/>
        </w:rPr>
        <w:t>（资格及资信证明部分）</w:t>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p>
    <w:p w14:paraId="68E4EF58">
      <w:pPr>
        <w:pStyle w:val="16"/>
        <w:jc w:val="center"/>
        <w:outlineLvl w:val="1"/>
        <w:rPr>
          <w:rFonts w:hint="default" w:ascii="宋体" w:hAnsi="宋体" w:eastAsia="宋体" w:cs="宋体"/>
          <w:color w:val="auto"/>
          <w:sz w:val="44"/>
          <w:szCs w:val="44"/>
          <w:highlight w:val="none"/>
        </w:rPr>
      </w:pPr>
      <w:r>
        <w:rPr>
          <w:rFonts w:ascii="宋体" w:hAnsi="宋体" w:eastAsia="宋体" w:cs="宋体"/>
          <w:b/>
          <w:color w:val="auto"/>
          <w:sz w:val="28"/>
          <w:szCs w:val="28"/>
          <w:highlight w:val="none"/>
        </w:rPr>
        <w:t>（填写正本或副本）</w:t>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p>
    <w:p w14:paraId="4EDCF53B">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项目名称：（由投标人填写）</w:t>
      </w:r>
    </w:p>
    <w:p w14:paraId="12FE03E6">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备案编号：（由投标人填写）</w:t>
      </w:r>
    </w:p>
    <w:p w14:paraId="5EF2B460">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项目编号：（由投标人填写）</w:t>
      </w:r>
    </w:p>
    <w:p w14:paraId="2F9E1865">
      <w:pPr>
        <w:pStyle w:val="16"/>
        <w:jc w:val="center"/>
        <w:outlineLvl w:val="2"/>
        <w:rPr>
          <w:rFonts w:hint="default" w:ascii="宋体" w:hAnsi="宋体" w:eastAsia="宋体" w:cs="宋体"/>
          <w:b/>
          <w:color w:val="auto"/>
          <w:sz w:val="28"/>
          <w:szCs w:val="28"/>
          <w:highlight w:val="none"/>
        </w:rPr>
      </w:pPr>
      <w:r>
        <w:rPr>
          <w:rFonts w:ascii="宋体" w:hAnsi="宋体" w:eastAsia="宋体" w:cs="宋体"/>
          <w:b/>
          <w:color w:val="auto"/>
          <w:sz w:val="28"/>
          <w:szCs w:val="28"/>
          <w:highlight w:val="none"/>
        </w:rPr>
        <w:t>所投采购包：（由投标人填写）</w:t>
      </w:r>
    </w:p>
    <w:p w14:paraId="69C54F59">
      <w:pPr>
        <w:pStyle w:val="16"/>
        <w:jc w:val="center"/>
        <w:outlineLvl w:val="2"/>
        <w:rPr>
          <w:rFonts w:hint="default" w:ascii="宋体" w:hAnsi="宋体" w:eastAsia="宋体" w:cs="宋体"/>
          <w:b/>
          <w:color w:val="auto"/>
          <w:sz w:val="44"/>
          <w:szCs w:val="44"/>
          <w:highlight w:val="none"/>
        </w:rPr>
      </w:pPr>
    </w:p>
    <w:p w14:paraId="4706D6A5">
      <w:pPr>
        <w:pStyle w:val="16"/>
        <w:jc w:val="center"/>
        <w:outlineLvl w:val="2"/>
        <w:rPr>
          <w:rFonts w:hint="default" w:ascii="宋体" w:hAnsi="宋体" w:eastAsia="宋体" w:cs="宋体"/>
          <w:b/>
          <w:color w:val="auto"/>
          <w:sz w:val="44"/>
          <w:szCs w:val="44"/>
          <w:highlight w:val="none"/>
        </w:rPr>
      </w:pPr>
    </w:p>
    <w:p w14:paraId="28BC4348">
      <w:pPr>
        <w:pStyle w:val="16"/>
        <w:jc w:val="center"/>
        <w:outlineLvl w:val="2"/>
        <w:rPr>
          <w:rFonts w:hint="default" w:ascii="宋体" w:hAnsi="宋体" w:eastAsia="宋体" w:cs="宋体"/>
          <w:b/>
          <w:color w:val="auto"/>
          <w:sz w:val="44"/>
          <w:szCs w:val="44"/>
          <w:highlight w:val="none"/>
        </w:rPr>
      </w:pPr>
    </w:p>
    <w:p w14:paraId="20684597">
      <w:pPr>
        <w:pStyle w:val="16"/>
        <w:jc w:val="both"/>
        <w:outlineLvl w:val="2"/>
        <w:rPr>
          <w:rFonts w:hint="default" w:ascii="宋体" w:hAnsi="宋体" w:eastAsia="宋体" w:cs="宋体"/>
          <w:b/>
          <w:color w:val="auto"/>
          <w:sz w:val="44"/>
          <w:szCs w:val="44"/>
          <w:highlight w:val="none"/>
        </w:rPr>
      </w:pPr>
    </w:p>
    <w:p w14:paraId="23D3D129">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投标人：（填写“全称”）</w:t>
      </w:r>
    </w:p>
    <w:p w14:paraId="00959D0B">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（由投标人填写）年（由投标人填写）月</w:t>
      </w:r>
    </w:p>
    <w:p w14:paraId="3387B3C3">
      <w:pPr>
        <w:pStyle w:val="16"/>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14:paraId="52683CC1">
      <w:pPr>
        <w:pStyle w:val="16"/>
        <w:rPr>
          <w:rFonts w:hint="default" w:ascii="宋体" w:hAnsi="宋体" w:eastAsia="宋体" w:cs="宋体"/>
          <w:color w:val="auto"/>
          <w:sz w:val="24"/>
          <w:szCs w:val="24"/>
          <w:highlight w:val="none"/>
        </w:rPr>
      </w:pPr>
    </w:p>
    <w:p w14:paraId="22042346">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索引</w:t>
      </w:r>
    </w:p>
    <w:p w14:paraId="0BBEAFA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一、投标函</w:t>
      </w:r>
    </w:p>
    <w:p w14:paraId="202945D0">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二、投标人的资格及资信证明文件</w:t>
      </w:r>
    </w:p>
    <w:p w14:paraId="52773E5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三、投标保证金</w:t>
      </w:r>
    </w:p>
    <w:p w14:paraId="5338E56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720F7A3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资格及资信证明部分中不得出现报价部分的全部或部分的投标报价信息（或组成资料），否则资格审查不合格。（联合体协议及分包意向协议中的比例规定，不适用本条款）</w:t>
      </w:r>
    </w:p>
    <w:p w14:paraId="0BD0FE15">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1A7981D3">
      <w:pPr>
        <w:pStyle w:val="16"/>
        <w:spacing w:line="36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一、投标函</w:t>
      </w:r>
    </w:p>
    <w:p w14:paraId="7E86F343">
      <w:pPr>
        <w:pStyle w:val="16"/>
        <w:spacing w:line="360" w:lineRule="exact"/>
        <w:ind w:firstLine="480"/>
        <w:rPr>
          <w:rFonts w:hint="default" w:ascii="宋体" w:hAnsi="宋体" w:eastAsia="宋体" w:cs="宋体"/>
          <w:color w:val="auto"/>
          <w:sz w:val="24"/>
          <w:szCs w:val="24"/>
          <w:highlight w:val="none"/>
        </w:rPr>
      </w:pPr>
    </w:p>
    <w:p w14:paraId="6128EEE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153FB686">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兹收到贵单位关于</w:t>
      </w:r>
      <w:r>
        <w:rPr>
          <w:rFonts w:ascii="宋体" w:hAnsi="宋体" w:eastAsia="宋体" w:cs="宋体"/>
          <w:color w:val="auto"/>
          <w:sz w:val="24"/>
          <w:szCs w:val="24"/>
          <w:highlight w:val="none"/>
          <w:u w:val="single"/>
        </w:rPr>
        <w:t xml:space="preserve">（填写“项目名称”） </w:t>
      </w:r>
      <w:r>
        <w:rPr>
          <w:rFonts w:ascii="宋体" w:hAnsi="宋体" w:eastAsia="宋体" w:cs="宋体"/>
          <w:color w:val="auto"/>
          <w:sz w:val="24"/>
          <w:szCs w:val="24"/>
          <w:highlight w:val="none"/>
        </w:rPr>
        <w:t>项目</w:t>
      </w:r>
      <w:r>
        <w:rPr>
          <w:rFonts w:ascii="宋体" w:hAnsi="宋体" w:eastAsia="宋体" w:cs="宋体"/>
          <w:color w:val="auto"/>
          <w:sz w:val="24"/>
          <w:szCs w:val="24"/>
          <w:highlight w:val="none"/>
          <w:u w:val="single"/>
        </w:rPr>
        <w:t xml:space="preserve">（项目编号：　　　　　） </w:t>
      </w:r>
      <w:r>
        <w:rPr>
          <w:rFonts w:ascii="宋体" w:hAnsi="宋体" w:eastAsia="宋体" w:cs="宋体"/>
          <w:color w:val="auto"/>
          <w:sz w:val="24"/>
          <w:szCs w:val="24"/>
          <w:highlight w:val="none"/>
        </w:rPr>
        <w:t>的投标邀请，本投标人代表</w:t>
      </w:r>
      <w:r>
        <w:rPr>
          <w:rFonts w:ascii="宋体" w:hAnsi="宋体" w:eastAsia="宋体" w:cs="宋体"/>
          <w:color w:val="auto"/>
          <w:sz w:val="24"/>
          <w:szCs w:val="24"/>
          <w:highlight w:val="none"/>
          <w:u w:val="single"/>
        </w:rPr>
        <w:t xml:space="preserve">（填写“全名”） </w:t>
      </w:r>
      <w:r>
        <w:rPr>
          <w:rFonts w:ascii="宋体" w:hAnsi="宋体" w:eastAsia="宋体" w:cs="宋体"/>
          <w:color w:val="auto"/>
          <w:sz w:val="24"/>
          <w:szCs w:val="24"/>
          <w:highlight w:val="none"/>
        </w:rPr>
        <w:t>已获得我方正式授权并代表投标人（填写“全称”）参加投标，并提交电子投标文件。我方提交的全部电子投标文件由下述部分组成：</w:t>
      </w:r>
    </w:p>
    <w:p w14:paraId="266E4FF5">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（1）资格及资信证明部分</w:t>
      </w:r>
    </w:p>
    <w:p w14:paraId="0CB7C32B">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①投标函</w:t>
      </w:r>
    </w:p>
    <w:p w14:paraId="5EE1E7D9">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②投标人的资格及资信证明文件</w:t>
      </w:r>
    </w:p>
    <w:p w14:paraId="73B7F70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③投标保证金</w:t>
      </w:r>
    </w:p>
    <w:p w14:paraId="7E7FD0CF">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（2）报价部分</w:t>
      </w:r>
    </w:p>
    <w:p w14:paraId="27F0B78B">
      <w:pPr>
        <w:pStyle w:val="16"/>
        <w:spacing w:line="360" w:lineRule="exact"/>
        <w:ind w:firstLine="48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①</w:t>
      </w:r>
      <w:r>
        <w:rPr>
          <w:rFonts w:hint="eastAsia" w:ascii="宋体" w:hAnsi="宋体" w:eastAsia="宋体" w:cs="宋体"/>
          <w:color w:val="auto"/>
          <w:sz w:val="24"/>
          <w:szCs w:val="24"/>
          <w:highlight w:val="none"/>
          <w:lang w:eastAsia="zh-CN"/>
        </w:rPr>
        <w:t>开标（报价）一览表</w:t>
      </w:r>
    </w:p>
    <w:p w14:paraId="3378C174">
      <w:pPr>
        <w:pStyle w:val="16"/>
        <w:spacing w:line="360" w:lineRule="exact"/>
        <w:ind w:firstLine="48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投标（响应）报价明细表</w:t>
      </w:r>
    </w:p>
    <w:p w14:paraId="47C649D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③招标文件规定的价格扣除证明材料（若有）</w:t>
      </w:r>
    </w:p>
    <w:p w14:paraId="72CEB60D">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④招标文件规定的加分证明材料（若有）</w:t>
      </w:r>
    </w:p>
    <w:p w14:paraId="1119387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（3）技术商务部分</w:t>
      </w:r>
    </w:p>
    <w:p w14:paraId="6E43BFA5">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①标的说明一览表</w:t>
      </w:r>
    </w:p>
    <w:p w14:paraId="51D07BAE">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②技术和服务要求响应表</w:t>
      </w:r>
    </w:p>
    <w:p w14:paraId="0F135E5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③商务条件响应表</w:t>
      </w:r>
    </w:p>
    <w:p w14:paraId="2FF0C37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④投标人提交的其他资料（若有）</w:t>
      </w:r>
    </w:p>
    <w:p w14:paraId="68EFF71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根据本函，本投标人代表宣布我方保证遵守招标文件的全部规定，同时：</w:t>
      </w:r>
    </w:p>
    <w:p w14:paraId="3625D6F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1、确认：</w:t>
      </w:r>
    </w:p>
    <w:p w14:paraId="1656C4A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1.1所投采购包的投标报价详见“</w:t>
      </w:r>
      <w:r>
        <w:rPr>
          <w:rFonts w:hint="eastAsia" w:ascii="宋体" w:hAnsi="宋体" w:eastAsia="宋体" w:cs="宋体"/>
          <w:color w:val="auto"/>
          <w:sz w:val="24"/>
          <w:szCs w:val="24"/>
          <w:highlight w:val="none"/>
          <w:lang w:eastAsia="zh-CN"/>
        </w:rPr>
        <w:t>开标（报价）一览表</w:t>
      </w:r>
      <w:r>
        <w:rPr>
          <w:rFonts w:ascii="宋体" w:hAnsi="宋体" w:eastAsia="宋体" w:cs="宋体"/>
          <w:color w:val="auto"/>
          <w:sz w:val="24"/>
          <w:szCs w:val="24"/>
          <w:highlight w:val="none"/>
        </w:rPr>
        <w:t>”及“</w:t>
      </w:r>
      <w:r>
        <w:rPr>
          <w:rFonts w:hint="eastAsia" w:ascii="宋体" w:hAnsi="宋体" w:eastAsia="宋体" w:cs="宋体"/>
          <w:color w:val="auto"/>
          <w:sz w:val="24"/>
          <w:szCs w:val="24"/>
          <w:highlight w:val="none"/>
          <w:lang w:eastAsia="zh-CN"/>
        </w:rPr>
        <w:t>投标（响应）报价明细表</w:t>
      </w:r>
      <w:r>
        <w:rPr>
          <w:rFonts w:ascii="宋体" w:hAnsi="宋体" w:eastAsia="宋体" w:cs="宋体"/>
          <w:color w:val="auto"/>
          <w:sz w:val="24"/>
          <w:szCs w:val="24"/>
          <w:highlight w:val="none"/>
        </w:rPr>
        <w:t>”</w:t>
      </w:r>
      <w:r>
        <w:rPr>
          <w:rFonts w:ascii="宋体" w:hAnsi="宋体" w:eastAsia="宋体" w:cs="宋体"/>
          <w:color w:val="auto"/>
          <w:sz w:val="24"/>
          <w:szCs w:val="24"/>
          <w:highlight w:val="none"/>
        </w:rPr>
        <w:t>。</w:t>
      </w:r>
    </w:p>
    <w:p w14:paraId="369FDEA6">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1.2我方已详细审查全部招标文件[包括但不限于：有关附件（若有）、澄清或修改（若有）等]，并自行承担因对全部招标文件理解不正确或误解而产生的相应后果和责任。</w:t>
      </w:r>
    </w:p>
    <w:p w14:paraId="52CE8BE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2、承诺及声明：</w:t>
      </w:r>
    </w:p>
    <w:p w14:paraId="1D86F263">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2.1我方具备招标文件第一章载明的“投标人的资格要求”且符合招标文件第三章载明的“二、投标人”之规定，否则投标无效。</w:t>
      </w:r>
    </w:p>
    <w:p w14:paraId="46FDD0F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2.2我方提交的电子投标文件各组成部分的全部内容及资料是不可割离且真实、有效、准确、完整和不具有任何误导性的，否则产生不利后果由我方承担责任。</w:t>
      </w:r>
    </w:p>
    <w:p w14:paraId="567785B6">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2.3我方提供的标的价格不高于同期市场价格，否则产生不利后果由我方承担责任。</w:t>
      </w:r>
    </w:p>
    <w:p w14:paraId="7F9ABE0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2.4投标保证金：若出现招标文件第三章规定的不予退还情形，同意贵单位不予退还。</w:t>
      </w:r>
    </w:p>
    <w:p w14:paraId="3F128A0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2.5投标有效期：按照招标文件第三章规定执行，并在招标文件第二章载明的期限内保持有效。</w:t>
      </w:r>
    </w:p>
    <w:p w14:paraId="6B73912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2.6若中标，将按照招标文件、我方电子投标文件及政府采购合同履行责任和义务。</w:t>
      </w:r>
    </w:p>
    <w:p w14:paraId="67CDD087">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2.7若贵单位要求，我方同意提供与本项目投标有关的一切资料、数据或文件，并完全理解贵单位不一定要接受最低的投标报价或收到的任何投标。</w:t>
      </w:r>
    </w:p>
    <w:p w14:paraId="554A511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2.8 我方承诺遵守《中华人民共和国劳动合同法》有关规定和《中华人民共和国妇女权益保障法 》中关于“劳动和社会保障权益”的有关要求。</w:t>
      </w:r>
    </w:p>
    <w:p w14:paraId="00AC2A0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2.9我方承诺电子投标文件所提供的全部资料真实可靠，并接受评标委员会、采购人、采购代理机构、监管部门进一步审查其中任何资料真实性的要求。</w:t>
      </w:r>
    </w:p>
    <w:p w14:paraId="466BF48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2.10除招标文件另有规定外，对于贵单位按照下述联络方式发出的任何信息或通知，均视为我方已收悉前述信息或通知的全部内容：</w:t>
      </w:r>
    </w:p>
    <w:p w14:paraId="382BD291">
      <w:pPr>
        <w:pStyle w:val="16"/>
        <w:spacing w:line="360" w:lineRule="exact"/>
        <w:ind w:firstLine="480"/>
        <w:rPr>
          <w:rFonts w:hint="default" w:ascii="宋体" w:hAnsi="宋体" w:eastAsia="宋体" w:cs="宋体"/>
          <w:color w:val="auto"/>
          <w:sz w:val="24"/>
          <w:szCs w:val="24"/>
          <w:highlight w:val="none"/>
        </w:rPr>
      </w:pPr>
    </w:p>
    <w:p w14:paraId="68540E3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通信地址：                                        </w:t>
      </w:r>
    </w:p>
    <w:p w14:paraId="767C8DA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邮编：                                           </w:t>
      </w:r>
    </w:p>
    <w:p w14:paraId="7D6BEF9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联系方法：（包括但不限于：联系人、联系电话、手机、传真、电子邮箱等）</w:t>
      </w:r>
    </w:p>
    <w:p w14:paraId="0DA6042B">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投标人：（全称并加盖单位公章）</w:t>
      </w:r>
    </w:p>
    <w:p w14:paraId="4797787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    年   月   日</w:t>
      </w:r>
    </w:p>
    <w:p w14:paraId="3CCC983D">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7CB25CD9">
      <w:pPr>
        <w:pStyle w:val="16"/>
        <w:spacing w:line="36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二、投标人的资格及资信证明文件</w:t>
      </w:r>
    </w:p>
    <w:p w14:paraId="008D2D28">
      <w:pPr>
        <w:pStyle w:val="16"/>
        <w:spacing w:line="360" w:lineRule="exact"/>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二-1单位授权书（若有）</w:t>
      </w:r>
    </w:p>
    <w:p w14:paraId="525ED8D4">
      <w:pPr>
        <w:pStyle w:val="16"/>
        <w:spacing w:line="360" w:lineRule="exact"/>
        <w:ind w:firstLine="480"/>
        <w:rPr>
          <w:rFonts w:hint="default" w:ascii="宋体" w:hAnsi="宋体" w:eastAsia="宋体" w:cs="宋体"/>
          <w:color w:val="auto"/>
          <w:sz w:val="24"/>
          <w:szCs w:val="24"/>
          <w:highlight w:val="none"/>
        </w:rPr>
      </w:pPr>
    </w:p>
    <w:p w14:paraId="4AB78DF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0C1B300B">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我方的单位负责人</w:t>
      </w:r>
      <w:r>
        <w:rPr>
          <w:rFonts w:ascii="宋体" w:hAnsi="宋体" w:eastAsia="宋体" w:cs="宋体"/>
          <w:color w:val="auto"/>
          <w:sz w:val="24"/>
          <w:szCs w:val="24"/>
          <w:highlight w:val="none"/>
          <w:u w:val="single"/>
        </w:rPr>
        <w:t>（填写“单位负责人全名”）</w:t>
      </w:r>
      <w:r>
        <w:rPr>
          <w:rFonts w:ascii="宋体" w:hAnsi="宋体" w:eastAsia="宋体" w:cs="宋体"/>
          <w:color w:val="auto"/>
          <w:sz w:val="24"/>
          <w:szCs w:val="24"/>
          <w:highlight w:val="none"/>
        </w:rPr>
        <w:t>授权</w:t>
      </w:r>
      <w:r>
        <w:rPr>
          <w:rFonts w:ascii="宋体" w:hAnsi="宋体" w:eastAsia="宋体" w:cs="宋体"/>
          <w:color w:val="auto"/>
          <w:sz w:val="24"/>
          <w:szCs w:val="24"/>
          <w:highlight w:val="none"/>
          <w:u w:val="single"/>
        </w:rPr>
        <w:t>（填写“投标人代表全名”）</w:t>
      </w:r>
      <w:r>
        <w:rPr>
          <w:rFonts w:ascii="宋体" w:hAnsi="宋体" w:eastAsia="宋体" w:cs="宋体"/>
          <w:color w:val="auto"/>
          <w:sz w:val="24"/>
          <w:szCs w:val="24"/>
          <w:highlight w:val="none"/>
        </w:rPr>
        <w:t>为投标人代表，代表我方参加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0448BED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投标人代表无转委权。特此授权。</w:t>
      </w:r>
    </w:p>
    <w:p w14:paraId="1246C48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（以下无正文）</w:t>
      </w:r>
    </w:p>
    <w:p w14:paraId="5711CC6D">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w:t>
      </w:r>
    </w:p>
    <w:p w14:paraId="33E94200">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投标人代表：</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w:t>
      </w:r>
    </w:p>
    <w:p w14:paraId="32640BFD">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授权方</w:t>
      </w:r>
    </w:p>
    <w:p w14:paraId="34974C5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36AEC7A4">
      <w:pPr>
        <w:pStyle w:val="16"/>
        <w:spacing w:line="36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签署日期： 年 月 日</w:t>
      </w:r>
    </w:p>
    <w:p w14:paraId="466B5B6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附：单位负责人、投标人代表的身份证正反面复印件</w:t>
      </w:r>
    </w:p>
    <w:p w14:paraId="772A2257">
      <w:pPr>
        <w:pStyle w:val="16"/>
        <w:spacing w:line="36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要求：真实有效且内容完整、清晰、整洁。</w:t>
      </w:r>
    </w:p>
    <w:p w14:paraId="5C7AE351">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33BF682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1、企业（银行、保险、石油石化、电力、电信等行业除外）、事业单位和社会团体法人的“单位负责人”指法定代表人，即与实际提交的“营业执照等证明文件”载明的一致。</w:t>
      </w:r>
    </w:p>
    <w:p w14:paraId="67570CB4">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69025CF">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3、投标人（自然人除外）：若投标人代表为单位授权的委托代理人，应提供本授权书；若投标人代表为单位负责人，应在此项下提交其身份证正反面复印件，可不提供本授权书。</w:t>
      </w:r>
    </w:p>
    <w:p w14:paraId="3D8AB073">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4、投标人为自然人的，可不填写本授权书。</w:t>
      </w:r>
    </w:p>
    <w:p w14:paraId="1DF05BA3">
      <w:pPr>
        <w:pStyle w:val="16"/>
        <w:spacing w:line="36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71E435E1">
      <w:pPr>
        <w:pStyle w:val="16"/>
        <w:spacing w:line="340" w:lineRule="exact"/>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二-2 证明材料</w:t>
      </w:r>
    </w:p>
    <w:p w14:paraId="52B5E760">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1ED21D8">
      <w:pPr>
        <w:pStyle w:val="16"/>
        <w:spacing w:line="340" w:lineRule="exact"/>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二-2-1 福建省政府采购供应商资格承诺函</w:t>
      </w:r>
    </w:p>
    <w:p w14:paraId="14ED422E">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46295DDB">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单位名称(自然人姓名):</w:t>
      </w:r>
    </w:p>
    <w:p w14:paraId="27B7643A">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统一社会信用代码(自然人身份证号码):</w:t>
      </w:r>
    </w:p>
    <w:p w14:paraId="5CC051D0">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法定代表人(负责人):</w:t>
      </w:r>
    </w:p>
    <w:p w14:paraId="221D2CD7">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联系地址和电话:</w:t>
      </w:r>
    </w:p>
    <w:p w14:paraId="4C5913A1">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我单位(本人)自愿参加本次政府采购活动，严格遵守《中华人民共和国政府采购法》及相关法律法规，坚守公开、公平公正和诚实信用等原则，依法诚信经营，并郑重承诺:</w:t>
      </w:r>
    </w:p>
    <w:p w14:paraId="3794D1DF">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一、我单位(本人)具备采购文件要求以及《中华人民共和国政府采购法》第二十二条规定的条件:</w:t>
      </w:r>
    </w:p>
    <w:p w14:paraId="461D32C8">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1.具有独立承担民事责任的能力;</w:t>
      </w:r>
    </w:p>
    <w:p w14:paraId="1F00424F">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2.具有良好的商业信誉和健全的财务会计制度;</w:t>
      </w:r>
    </w:p>
    <w:p w14:paraId="3A6F5C44">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3.具有履行合同所必需的设备和专业技术能力;</w:t>
      </w:r>
    </w:p>
    <w:p w14:paraId="55E5D044">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4.有依法缴纳税收和社会保障资金的良好记录;</w:t>
      </w:r>
    </w:p>
    <w:p w14:paraId="0B5DEA41">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5.参加政府采购活动前三年内，在经营活动中没有重大违法记录；</w:t>
      </w:r>
    </w:p>
    <w:p w14:paraId="4A089BED">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6.法律、行政法规规定的其他条件。</w:t>
      </w:r>
    </w:p>
    <w:p w14:paraId="70F9B5EC">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38919F4">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EB028C1">
      <w:pPr>
        <w:pStyle w:val="16"/>
        <w:spacing w:line="34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名称(单位公章)</w:t>
      </w:r>
    </w:p>
    <w:p w14:paraId="7996D2A5">
      <w:pPr>
        <w:pStyle w:val="16"/>
        <w:spacing w:line="34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2C70691C">
      <w:pPr>
        <w:pStyle w:val="16"/>
        <w:spacing w:line="3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w:t>
      </w:r>
    </w:p>
    <w:p w14:paraId="5FB8C289">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1.我单位(本人)专指参加政府采购活动的供应商(含自然人)；</w:t>
      </w:r>
    </w:p>
    <w:p w14:paraId="11DC974A">
      <w:pPr>
        <w:pStyle w:val="16"/>
        <w:spacing w:line="34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2.资格承诺的供应商应在投标(响应)文件中按此模板提供承诺函，否则，视为未按照招标文件规定提交投标人的资格及资信文件，按资格审查不通过处理。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4B298E2C">
      <w:pPr>
        <w:pStyle w:val="16"/>
        <w:spacing w:line="360" w:lineRule="exact"/>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二-2-2 资格证明材料</w:t>
      </w:r>
    </w:p>
    <w:p w14:paraId="641D7B27">
      <w:pPr>
        <w:pStyle w:val="16"/>
        <w:spacing w:line="360" w:lineRule="exact"/>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营业执照等证明文件</w:t>
      </w:r>
    </w:p>
    <w:p w14:paraId="6222C607">
      <w:pPr>
        <w:pStyle w:val="16"/>
        <w:spacing w:line="360" w:lineRule="exact"/>
        <w:ind w:firstLine="480"/>
        <w:rPr>
          <w:rFonts w:hint="default" w:ascii="宋体" w:hAnsi="宋体" w:eastAsia="宋体" w:cs="宋体"/>
          <w:color w:val="auto"/>
          <w:sz w:val="24"/>
          <w:szCs w:val="24"/>
          <w:highlight w:val="none"/>
        </w:rPr>
      </w:pPr>
    </w:p>
    <w:p w14:paraId="76D22DB9">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2C236A7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）投标人为法人（包括企业、事业单位和社会团体）的</w:t>
      </w:r>
    </w:p>
    <w:p w14:paraId="15B7D685">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签发的我方统一社会信用代码（请填写法人的具体证照名称）复印件，该证明材料真实有效，否则我方负全部责任。</w:t>
      </w:r>
    </w:p>
    <w:p w14:paraId="7551E525">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）投标人为非法人（包括其他组织、自然人）的</w:t>
      </w:r>
    </w:p>
    <w:p w14:paraId="3C5DDD4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签发的我方（请填写非自然人的非法人的具体证照名称）复印件，该证明材料真实有效，否则我方负全部责任。</w:t>
      </w:r>
    </w:p>
    <w:p w14:paraId="324684A6">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签发的我方（请填写自然人的身份证件名称）复印件，该证明材料真实有效，否则我方负全部责任。</w:t>
      </w:r>
    </w:p>
    <w:p w14:paraId="2AC93786">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31586E3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1、请投标人按照实际情况编制填写，在相应的（）中打“√”并选择相应的“□”（若有）后，再按照本格式的要求提供相应证明材料的复印件。</w:t>
      </w:r>
    </w:p>
    <w:p w14:paraId="26328C62">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531FBF75">
      <w:pPr>
        <w:pStyle w:val="16"/>
        <w:spacing w:line="36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5695FD6E">
      <w:pPr>
        <w:pStyle w:val="16"/>
        <w:spacing w:line="36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7FC4B193">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0C9FE98D">
      <w:pPr>
        <w:pStyle w:val="16"/>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财务状况报告（财务报告、或资信证明）</w:t>
      </w:r>
    </w:p>
    <w:p w14:paraId="712889AE">
      <w:pPr>
        <w:pStyle w:val="16"/>
        <w:ind w:firstLine="480"/>
        <w:rPr>
          <w:rFonts w:hint="default" w:ascii="宋体" w:hAnsi="宋体" w:eastAsia="宋体" w:cs="宋体"/>
          <w:color w:val="auto"/>
          <w:sz w:val="24"/>
          <w:szCs w:val="24"/>
          <w:highlight w:val="none"/>
        </w:rPr>
      </w:pPr>
    </w:p>
    <w:p w14:paraId="71EFCC03">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17115D02">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）投标人提供财务报告的</w:t>
      </w:r>
    </w:p>
    <w:p w14:paraId="509CAE0C">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□企业适用：现附上我方</w:t>
      </w:r>
      <w:r>
        <w:rPr>
          <w:rFonts w:ascii="宋体" w:hAnsi="宋体" w:eastAsia="宋体" w:cs="宋体"/>
          <w:color w:val="auto"/>
          <w:sz w:val="24"/>
          <w:szCs w:val="24"/>
          <w:highlight w:val="none"/>
          <w:u w:val="single"/>
        </w:rPr>
        <w:t>（填写“具体的年度、或半年度、季度”）</w:t>
      </w:r>
      <w:r>
        <w:rPr>
          <w:rFonts w:ascii="宋体" w:hAnsi="宋体" w:eastAsia="宋体" w:cs="宋体"/>
          <w:color w:val="auto"/>
          <w:sz w:val="24"/>
          <w:szCs w:val="24"/>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4EDAE3E7">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□事业单位适用：现附上我方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14:paraId="204FD5D6">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□社会团体、民办非企适用：现附上我方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财务报告复印件，包括资产负债表、业务活动表、现金流量表、会计师事务所营业执照和注册会计师资格证书，上述证明材料真实有效，否则我方负全部责任。</w:t>
      </w:r>
    </w:p>
    <w:p w14:paraId="56DFF049">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）投标人提供资信证明的</w:t>
      </w:r>
    </w:p>
    <w:p w14:paraId="33C453B5">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□非自然人适用（包括企业、事业单位、社会团体和其他组织）：现附上我方银行：</w:t>
      </w:r>
      <w:r>
        <w:rPr>
          <w:rFonts w:ascii="宋体" w:hAnsi="宋体" w:eastAsia="宋体" w:cs="宋体"/>
          <w:color w:val="auto"/>
          <w:sz w:val="24"/>
          <w:szCs w:val="24"/>
          <w:highlight w:val="none"/>
          <w:u w:val="single"/>
        </w:rPr>
        <w:t>（填写“开户银行全称”）</w:t>
      </w:r>
      <w:r>
        <w:rPr>
          <w:rFonts w:ascii="宋体" w:hAnsi="宋体" w:eastAsia="宋体" w:cs="宋体"/>
          <w:color w:val="auto"/>
          <w:sz w:val="24"/>
          <w:szCs w:val="24"/>
          <w:highlight w:val="none"/>
        </w:rPr>
        <w:t>出具的资信证明复印件，上述证明材料真实有效，否则我方负全部责任。</w:t>
      </w:r>
    </w:p>
    <w:p w14:paraId="56C86321">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□自然人适用：现附上我方银行</w:t>
      </w:r>
      <w:r>
        <w:rPr>
          <w:rFonts w:ascii="宋体" w:hAnsi="宋体" w:eastAsia="宋体" w:cs="宋体"/>
          <w:color w:val="auto"/>
          <w:sz w:val="24"/>
          <w:szCs w:val="24"/>
          <w:highlight w:val="none"/>
          <w:u w:val="single"/>
        </w:rPr>
        <w:t>：（填写自然人的“个人账户的开户银行全称”）</w:t>
      </w:r>
      <w:r>
        <w:rPr>
          <w:rFonts w:ascii="宋体" w:hAnsi="宋体" w:eastAsia="宋体" w:cs="宋体"/>
          <w:color w:val="auto"/>
          <w:sz w:val="24"/>
          <w:szCs w:val="24"/>
          <w:highlight w:val="none"/>
        </w:rPr>
        <w:t>出具的资信证明复印件，上述证明材料真实有效，否则我方负全部责任。</w:t>
      </w:r>
    </w:p>
    <w:p w14:paraId="146826F5">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7EEE0B2C">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1、请投标人按照实际情况编制填写，在相应的（）中打“√”并选择相应的“□”（若有）后，再按照本格式的要求提供相应证明材料的复印件。</w:t>
      </w:r>
    </w:p>
    <w:p w14:paraId="1E250F0E">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2、投标人提供的财务报告复印件（成立年限按照投标截止时间推算）应符合下列规定：</w:t>
      </w:r>
    </w:p>
    <w:p w14:paraId="1A4688A1">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2.1成立年限满1年及以上的投标人，提供经审计的招标文件规定的年度财务报告。</w:t>
      </w:r>
    </w:p>
    <w:p w14:paraId="4324B4D5">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2.2成立年限满半年但不足1年的投标人，提供该半年度中任一季度的季度财务报告或该半年度的半年度财务报告。</w:t>
      </w:r>
    </w:p>
    <w:p w14:paraId="61508013">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B219264">
      <w:pPr>
        <w:pStyle w:val="16"/>
        <w:spacing w:line="36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55CEA1C1">
      <w:pPr>
        <w:pStyle w:val="16"/>
        <w:spacing w:line="36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68DDD359">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164E3683">
      <w:pPr>
        <w:pStyle w:val="16"/>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依法缴纳税收证明材料</w:t>
      </w:r>
    </w:p>
    <w:p w14:paraId="44950C96">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55DB54AF">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1、依法缴纳税收的投标人</w:t>
      </w:r>
    </w:p>
    <w:p w14:paraId="05144393">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）法人（包括企业、事业单位和社会团体）的</w:t>
      </w:r>
    </w:p>
    <w:p w14:paraId="6C930FF2">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至</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50464B67">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）非法人（包括其他组织、自然人）的</w:t>
      </w:r>
    </w:p>
    <w:p w14:paraId="74D482A2">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至</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02C3120A">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2、依法免税的投标人</w:t>
      </w:r>
    </w:p>
    <w:p w14:paraId="144C20A5">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）现附上我方依法免税的证明材料复印件，上述证明材料真实有效，否则我方负全部责任。</w:t>
      </w:r>
    </w:p>
    <w:p w14:paraId="5C59C165">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69A16E19">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1、请投标人按照实际情况编制填写，在相应的（）中打“√”，并按照本格式的要求提供相应证明材料的复印件。</w:t>
      </w:r>
    </w:p>
    <w:p w14:paraId="757F8577">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2、投标人提供的税收缴纳凭据复印件应符合下列规定：</w:t>
      </w:r>
    </w:p>
    <w:p w14:paraId="6EAD9C86">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2.1投标截止时间前（不含投标截止时间的当月）已依法缴纳税收的投标人，提供投标截止时间前六个月（不含投标截止时间的当月）中任一月份的税收缴纳凭据复印件。</w:t>
      </w:r>
    </w:p>
    <w:p w14:paraId="741EDBF2">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2.2投标截止时间的当月成立的投标人，视同满足本项资格条件要求。</w:t>
      </w:r>
    </w:p>
    <w:p w14:paraId="3226D1CE">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3、若为依法免税范围的投标人，提供依法免税证明材料的，视同满足本项资格条件要求。</w:t>
      </w:r>
    </w:p>
    <w:p w14:paraId="292061B6">
      <w:pPr>
        <w:pStyle w:val="16"/>
        <w:spacing w:line="36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6216F116">
      <w:pPr>
        <w:pStyle w:val="16"/>
        <w:spacing w:line="36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382BB3A2">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6284A0E6">
      <w:pPr>
        <w:pStyle w:val="16"/>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依法缴纳社会保障资金证明材料</w:t>
      </w:r>
    </w:p>
    <w:p w14:paraId="4711DB3F">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658BC84B">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1、依法缴纳社会保障资金的投标人</w:t>
      </w:r>
    </w:p>
    <w:p w14:paraId="20092EFF">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）法人（包括企业、事业单位和社会团体）的</w:t>
      </w:r>
    </w:p>
    <w:p w14:paraId="53A28DF9">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至</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6DFF1ECC">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）非法人（包括其他组织、自然人）的</w:t>
      </w:r>
    </w:p>
    <w:p w14:paraId="7B1EDF72">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至</w:t>
      </w:r>
      <w:r>
        <w:rPr>
          <w:rFonts w:ascii="宋体" w:hAnsi="宋体" w:eastAsia="宋体" w:cs="宋体"/>
          <w:color w:val="auto"/>
          <w:sz w:val="24"/>
          <w:szCs w:val="24"/>
          <w:highlight w:val="none"/>
          <w:u w:val="single"/>
        </w:rPr>
        <w:t>　　年　　月　　日</w:t>
      </w:r>
      <w:r>
        <w:rPr>
          <w:rFonts w:ascii="宋体" w:hAnsi="宋体" w:eastAsia="宋体" w:cs="宋体"/>
          <w:color w:val="auto"/>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021E6CB6">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2、依法不需要缴纳或暂缓缴纳社会保障资金的投标人</w:t>
      </w:r>
    </w:p>
    <w:p w14:paraId="2EE9B968">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）现附上我方依法不需要缴纳或暂缓缴纳社会保障资金证明材料复印件，上述证明材料真实有效，否则我方负全部责任。</w:t>
      </w:r>
    </w:p>
    <w:p w14:paraId="21E1F19F">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2C3D5DB1">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1、请投标人按照实际情况编制填写，在相应的（）中打“√”，并按照本格式的要求提供相应证明材料的复印件。</w:t>
      </w:r>
    </w:p>
    <w:p w14:paraId="0A3E0C1C">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2、投标人提供的社会保障资金缴纳凭据复印件应符合下列规定：</w:t>
      </w:r>
    </w:p>
    <w:p w14:paraId="454C775A">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2.1投标截止时间前（不含投标截止时间的当月）已依法缴纳社会保障资金的投标人，提供投标截止时间前六个月（不含投标截止时间的当月）中任一月份的社会保障资金缴纳凭据复印件。</w:t>
      </w:r>
    </w:p>
    <w:p w14:paraId="5B589294">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2.2投标截止时间的当月成立的投标人，视同满足本项资格条件要求。</w:t>
      </w:r>
    </w:p>
    <w:p w14:paraId="3BA73710">
      <w:pPr>
        <w:pStyle w:val="16"/>
        <w:spacing w:line="36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3、若为依法不需要缴纳或暂缓缴纳社会保障资金的投标人，提供依法不需要缴纳或暂缓缴纳社会保障资金证明材料的，视同满足本项资格条件要求。</w:t>
      </w:r>
    </w:p>
    <w:p w14:paraId="49206246">
      <w:pPr>
        <w:pStyle w:val="16"/>
        <w:spacing w:line="36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0955228A">
      <w:pPr>
        <w:pStyle w:val="16"/>
        <w:spacing w:line="36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3C792BF1">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6744D9A6">
      <w:pPr>
        <w:pStyle w:val="16"/>
        <w:spacing w:line="360" w:lineRule="exact"/>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具备履行合同所必需设备和专业技术能力的声明函（若有）</w:t>
      </w:r>
    </w:p>
    <w:p w14:paraId="40729866">
      <w:pPr>
        <w:pStyle w:val="16"/>
        <w:spacing w:line="360" w:lineRule="exact"/>
        <w:rPr>
          <w:rFonts w:hint="default" w:ascii="宋体" w:hAnsi="宋体" w:eastAsia="宋体" w:cs="宋体"/>
          <w:color w:val="auto"/>
          <w:sz w:val="24"/>
          <w:szCs w:val="24"/>
          <w:highlight w:val="none"/>
        </w:rPr>
      </w:pPr>
    </w:p>
    <w:p w14:paraId="5F6B0A94">
      <w:pPr>
        <w:pStyle w:val="16"/>
        <w:spacing w:line="36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0603D99F">
      <w:pPr>
        <w:pStyle w:val="16"/>
        <w:spacing w:line="360" w:lineRule="exact"/>
        <w:ind w:firstLine="480" w:firstLineChars="20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我方具备履行合同所必需的设备和专业技术能力，否则产生不利后果由我方承担责任。</w:t>
      </w:r>
    </w:p>
    <w:p w14:paraId="3ED9A34B">
      <w:pPr>
        <w:pStyle w:val="16"/>
        <w:spacing w:line="36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特此声明。</w:t>
      </w:r>
    </w:p>
    <w:p w14:paraId="39EB6AC4">
      <w:pPr>
        <w:pStyle w:val="16"/>
        <w:spacing w:line="360" w:lineRule="exact"/>
        <w:rPr>
          <w:rFonts w:hint="default" w:ascii="宋体" w:hAnsi="宋体" w:eastAsia="宋体" w:cs="宋体"/>
          <w:color w:val="auto"/>
          <w:sz w:val="24"/>
          <w:szCs w:val="24"/>
          <w:highlight w:val="none"/>
        </w:rPr>
      </w:pPr>
    </w:p>
    <w:p w14:paraId="18DF7085">
      <w:pPr>
        <w:pStyle w:val="16"/>
        <w:spacing w:line="36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50461998">
      <w:pPr>
        <w:pStyle w:val="16"/>
        <w:spacing w:line="36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1、招标文件未要求投标人提供“具备履行合同所必需的设备和专业技术能力专项证明材料”的，投标人应提供本声明函。</w:t>
      </w:r>
    </w:p>
    <w:p w14:paraId="1FB5D069">
      <w:pPr>
        <w:pStyle w:val="16"/>
        <w:spacing w:line="36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2、招标文件要求投标人提供“具备履行合同所必需的设备和专业技术能力专项证明材料”的，投标人可不提供本声明函。</w:t>
      </w:r>
    </w:p>
    <w:p w14:paraId="40223867">
      <w:pPr>
        <w:pStyle w:val="16"/>
        <w:spacing w:line="36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3、请投标人根据实际情况如实声明，否则视为提供虚假材料。</w:t>
      </w:r>
    </w:p>
    <w:p w14:paraId="381F00A5">
      <w:pPr>
        <w:pStyle w:val="16"/>
        <w:spacing w:line="360" w:lineRule="exact"/>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56F2321C">
      <w:pPr>
        <w:pStyle w:val="16"/>
        <w:spacing w:line="360" w:lineRule="exact"/>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17CE4271">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4AA9FD89">
      <w:pPr>
        <w:pStyle w:val="16"/>
        <w:spacing w:line="360" w:lineRule="exact"/>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参加采购活动前三年内在经营活动中没有重大违法记录书面声明</w:t>
      </w:r>
    </w:p>
    <w:p w14:paraId="2240491D">
      <w:pPr>
        <w:pStyle w:val="16"/>
        <w:spacing w:line="360" w:lineRule="exact"/>
        <w:ind w:firstLine="480"/>
        <w:rPr>
          <w:rFonts w:hint="default" w:ascii="宋体" w:hAnsi="宋体" w:eastAsia="宋体" w:cs="宋体"/>
          <w:color w:val="auto"/>
          <w:sz w:val="24"/>
          <w:szCs w:val="24"/>
          <w:highlight w:val="none"/>
        </w:rPr>
      </w:pPr>
    </w:p>
    <w:p w14:paraId="4809359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3B4415F6">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7E416386">
      <w:pPr>
        <w:pStyle w:val="16"/>
        <w:spacing w:line="360" w:lineRule="exact"/>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特此声明。</w:t>
      </w:r>
    </w:p>
    <w:p w14:paraId="7646169C">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37142298">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EDA268A">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请投标人根据实际情况如实声明，否则视为提供虚假材料。</w:t>
      </w:r>
    </w:p>
    <w:p w14:paraId="27143436">
      <w:pPr>
        <w:pStyle w:val="16"/>
        <w:spacing w:line="36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3CDA1F4F">
      <w:pPr>
        <w:pStyle w:val="16"/>
        <w:spacing w:line="360" w:lineRule="exact"/>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3AA3BA1B">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7A0ED4F6">
      <w:pPr>
        <w:pStyle w:val="16"/>
        <w:spacing w:line="360" w:lineRule="exact"/>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二-3信用记录查询提示</w:t>
      </w:r>
    </w:p>
    <w:p w14:paraId="028E414E">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1、由资格审查小组通过网站查询并打印投标人的信用记录。</w:t>
      </w:r>
    </w:p>
    <w:p w14:paraId="45CCD6AD">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1FD8C59">
      <w:pPr>
        <w:pStyle w:val="16"/>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1038C277">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D75D576">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二-4中小企业声明函</w:t>
      </w:r>
    </w:p>
    <w:p w14:paraId="63CA6D51">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（以资格条件落实中小企业扶持政策时适用，若有）</w:t>
      </w:r>
    </w:p>
    <w:p w14:paraId="415BAA34">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中小企业声明函（货物）</w:t>
      </w:r>
    </w:p>
    <w:p w14:paraId="68323944">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本公司（联合体）郑重声明，根据《政府采购促进中小企业发展管理办法》（财库﹝2020﹞46 号）的规定，本公司（联合体）参加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25860B8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 xml:space="preserve"> （标的名称） </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万元¹，属于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00903FE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u w:val="single"/>
        </w:rPr>
        <w:t xml:space="preserve"> （标的名称） </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68B43E5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71B16D4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1ACB3D8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14:paraId="126899B4">
      <w:pPr>
        <w:pStyle w:val="16"/>
        <w:ind w:firstLine="480"/>
        <w:jc w:val="right"/>
        <w:rPr>
          <w:rFonts w:hint="default" w:ascii="宋体" w:hAnsi="宋体" w:eastAsia="宋体" w:cs="宋体"/>
          <w:color w:val="auto"/>
          <w:sz w:val="24"/>
          <w:szCs w:val="24"/>
          <w:highlight w:val="none"/>
        </w:rPr>
      </w:pPr>
    </w:p>
    <w:p w14:paraId="049ECFA7">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1C74A8D4">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4F6CBC49">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28FCCFE0">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14:paraId="4E8C1A1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5A4DB8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54F1496">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39FAFC4">
      <w:pPr>
        <w:pStyle w:val="16"/>
        <w:ind w:firstLine="96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中小企业声明函（工程、服务）</w:t>
      </w:r>
    </w:p>
    <w:p w14:paraId="1D24FBC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本公司（联合体）郑重声明，根据《政府采购促进中小企业发展管理办法》（财库﹝2020﹞46 号）的规定，本公司（联合体）参加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4B89C4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万元¹，属于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6B19357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26AF081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2863E1D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6BCE906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14:paraId="40C06596">
      <w:pPr>
        <w:pStyle w:val="16"/>
        <w:ind w:firstLine="480"/>
        <w:jc w:val="right"/>
        <w:rPr>
          <w:rFonts w:hint="default" w:ascii="宋体" w:hAnsi="宋体" w:eastAsia="宋体" w:cs="宋体"/>
          <w:color w:val="auto"/>
          <w:sz w:val="24"/>
          <w:szCs w:val="24"/>
          <w:highlight w:val="none"/>
        </w:rPr>
      </w:pPr>
    </w:p>
    <w:p w14:paraId="09712D81">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7C42E018">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74F2CF5D">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7EEA72F4">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14:paraId="6B56F30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C29B21D">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35970B6">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889693B">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残疾人福利性单位声明函</w:t>
      </w:r>
    </w:p>
    <w:p w14:paraId="16DBA1E8">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（以资格条件落实中小企业扶持政策时适用，若有）</w:t>
      </w:r>
    </w:p>
    <w:p w14:paraId="3F3F9DB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750314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DFCA16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）由本投标人承建的（填写“所投采购包、品目号”）工程</w:t>
      </w:r>
    </w:p>
    <w:p w14:paraId="7FE3AA4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）由本投标人承接的（填写“所投采购包、品目号”）服务；</w:t>
      </w:r>
    </w:p>
    <w:p w14:paraId="31F80DE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本投标人对上述声明的真实性负责。如有虚假，将依法承担相应责任。</w:t>
      </w:r>
    </w:p>
    <w:p w14:paraId="37D2198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p w14:paraId="3F95946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1、请投标人按照实际情况编制填写本声明函，并在相应的（）中打“√”。</w:t>
      </w:r>
    </w:p>
    <w:p w14:paraId="3DA864F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2、若《残疾人福利性单位声明函》内容不真实，视为提供虚假材料。</w:t>
      </w:r>
    </w:p>
    <w:p w14:paraId="586E2B19">
      <w:pPr>
        <w:pStyle w:val="16"/>
        <w:ind w:firstLine="480"/>
        <w:jc w:val="right"/>
        <w:rPr>
          <w:rFonts w:hint="default" w:ascii="宋体" w:hAnsi="宋体" w:eastAsia="宋体" w:cs="宋体"/>
          <w:color w:val="auto"/>
          <w:sz w:val="24"/>
          <w:szCs w:val="24"/>
          <w:highlight w:val="none"/>
        </w:rPr>
      </w:pPr>
    </w:p>
    <w:p w14:paraId="1204B17A">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04B427D0">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0239ABEF">
      <w:pPr>
        <w:pStyle w:val="16"/>
        <w:ind w:firstLine="480"/>
        <w:rPr>
          <w:rFonts w:hint="default" w:ascii="宋体" w:hAnsi="宋体" w:eastAsia="宋体" w:cs="宋体"/>
          <w:color w:val="auto"/>
          <w:sz w:val="24"/>
          <w:szCs w:val="24"/>
          <w:highlight w:val="none"/>
        </w:rPr>
      </w:pPr>
    </w:p>
    <w:p w14:paraId="71DBB04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w:t>
      </w:r>
    </w:p>
    <w:p w14:paraId="60801AD2">
      <w:pPr>
        <w:pStyle w:val="16"/>
        <w:ind w:firstLine="0"/>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监狱企业证明材料</w:t>
      </w:r>
    </w:p>
    <w:p w14:paraId="2C2439D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投标人为监狱企业，提供本单位制造的货物（承接的服务），并在电子投标文件中提供省级以上监狱管理局、戒毒管理局（含新疆生产建设兵团）出具的属于监狱企业的证明文件。</w:t>
      </w:r>
    </w:p>
    <w:p w14:paraId="1ED85116">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0043AD2E">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二-5联合体协议（若有）</w:t>
      </w:r>
    </w:p>
    <w:p w14:paraId="661B4596">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14:paraId="1B77C11A">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兹有</w:t>
      </w:r>
      <w:r>
        <w:rPr>
          <w:rFonts w:ascii="宋体" w:hAnsi="宋体" w:eastAsia="宋体" w:cs="宋体"/>
          <w:color w:val="auto"/>
          <w:sz w:val="24"/>
          <w:szCs w:val="24"/>
          <w:highlight w:val="none"/>
          <w:u w:val="single"/>
        </w:rPr>
        <w:t>（填写“联合体中各方的全称”，各方的全称之间请用“、”分割）</w:t>
      </w:r>
      <w:r>
        <w:rPr>
          <w:rFonts w:ascii="宋体" w:hAnsi="宋体" w:eastAsia="宋体" w:cs="宋体"/>
          <w:color w:val="auto"/>
          <w:sz w:val="24"/>
          <w:szCs w:val="24"/>
          <w:highlight w:val="none"/>
        </w:rPr>
        <w:t>自愿组成联合体，共同参加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 xml:space="preserve"> 项目（项目编号：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）的投标。现就联合体参加本项目投标的有关事宜达成下列协议：</w:t>
      </w:r>
    </w:p>
    <w:p w14:paraId="4721442D">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一、联合体各方应承担的工作和义务具体如下：</w:t>
      </w:r>
    </w:p>
    <w:p w14:paraId="577FBA03">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1、牵头方（全称）：</w:t>
      </w:r>
      <w:r>
        <w:rPr>
          <w:rFonts w:ascii="宋体" w:hAnsi="宋体" w:eastAsia="宋体" w:cs="宋体"/>
          <w:color w:val="auto"/>
          <w:sz w:val="24"/>
          <w:szCs w:val="24"/>
          <w:highlight w:val="none"/>
          <w:u w:val="single"/>
        </w:rPr>
        <w:t xml:space="preserve">（填写“工作及义务的具体内容”） </w:t>
      </w:r>
      <w:r>
        <w:rPr>
          <w:rFonts w:ascii="宋体" w:hAnsi="宋体" w:eastAsia="宋体" w:cs="宋体"/>
          <w:color w:val="auto"/>
          <w:sz w:val="24"/>
          <w:szCs w:val="24"/>
          <w:highlight w:val="none"/>
        </w:rPr>
        <w:t>；</w:t>
      </w:r>
    </w:p>
    <w:p w14:paraId="352083EE">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2、成员方：</w:t>
      </w:r>
    </w:p>
    <w:p w14:paraId="14BD7554">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2.1（成员一的全称）：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 xml:space="preserve"> ；</w:t>
      </w:r>
    </w:p>
    <w:p w14:paraId="379FD714">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04C4C1BA">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二、联合体各方的合同金额占比，具体如下：</w:t>
      </w:r>
    </w:p>
    <w:p w14:paraId="05905E8D">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1.牵头方（</w:t>
      </w:r>
      <w:r>
        <w:rPr>
          <w:rFonts w:ascii="宋体" w:hAnsi="宋体" w:eastAsia="宋体" w:cs="宋体"/>
          <w:color w:val="auto"/>
          <w:sz w:val="24"/>
          <w:szCs w:val="24"/>
          <w:highlight w:val="none"/>
          <w:u w:val="single"/>
        </w:rPr>
        <w:t xml:space="preserve"> 全称</w:t>
      </w:r>
      <w:r>
        <w:rPr>
          <w:rFonts w:ascii="宋体" w:hAnsi="宋体" w:eastAsia="宋体" w:cs="宋体"/>
          <w:color w:val="auto"/>
          <w:sz w:val="24"/>
          <w:szCs w:val="24"/>
          <w:highlight w:val="none"/>
        </w:rPr>
        <w:t xml:space="preserve"> ）的合同金额占合同总额的</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w:t>
      </w:r>
    </w:p>
    <w:p w14:paraId="22352656">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2.成员方：</w:t>
      </w:r>
    </w:p>
    <w:p w14:paraId="0EF342F0">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w:t>
      </w:r>
      <w:r>
        <w:rPr>
          <w:rFonts w:ascii="宋体" w:hAnsi="宋体" w:eastAsia="宋体" w:cs="宋体"/>
          <w:color w:val="auto"/>
          <w:sz w:val="24"/>
          <w:szCs w:val="24"/>
          <w:highlight w:val="none"/>
          <w:u w:val="single"/>
        </w:rPr>
        <w:t xml:space="preserve"> 成员1的全称 </w:t>
      </w:r>
      <w:r>
        <w:rPr>
          <w:rFonts w:ascii="宋体" w:hAnsi="宋体" w:eastAsia="宋体" w:cs="宋体"/>
          <w:color w:val="auto"/>
          <w:sz w:val="24"/>
          <w:szCs w:val="24"/>
          <w:highlight w:val="none"/>
        </w:rPr>
        <w:t>）的合同金额占合同总额的</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w:t>
      </w:r>
    </w:p>
    <w:p w14:paraId="1EA7C867">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674EFDB4">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三、联合体各方约定：</w:t>
      </w:r>
    </w:p>
    <w:p w14:paraId="5B33BE04">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w:t>
      </w:r>
      <w:r>
        <w:rPr>
          <w:rFonts w:ascii="宋体" w:hAnsi="宋体" w:eastAsia="宋体" w:cs="宋体"/>
          <w:color w:val="auto"/>
          <w:sz w:val="24"/>
          <w:szCs w:val="24"/>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2BB8701D">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2、联合体各方约定由</w:t>
      </w:r>
      <w:r>
        <w:rPr>
          <w:rFonts w:ascii="宋体" w:hAnsi="宋体" w:eastAsia="宋体" w:cs="宋体"/>
          <w:color w:val="auto"/>
          <w:sz w:val="24"/>
          <w:szCs w:val="24"/>
          <w:highlight w:val="none"/>
          <w:u w:val="single"/>
        </w:rPr>
        <w:t>（填写“牵头方的全称”）代表联合体办理投标保证金事宜。</w:t>
      </w:r>
    </w:p>
    <w:p w14:paraId="716B3C01">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F2217CC">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3E67E185">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五、本协议自签署之日起生效，政府采购合同履行完毕后自动失效。</w:t>
      </w:r>
    </w:p>
    <w:p w14:paraId="047BCCAE">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六、本协议一式</w:t>
      </w:r>
      <w:r>
        <w:rPr>
          <w:rFonts w:ascii="宋体" w:hAnsi="宋体" w:eastAsia="宋体" w:cs="宋体"/>
          <w:color w:val="auto"/>
          <w:sz w:val="24"/>
          <w:szCs w:val="24"/>
          <w:highlight w:val="none"/>
          <w:u w:val="single"/>
        </w:rPr>
        <w:t>（填写具体份数）</w:t>
      </w:r>
      <w:r>
        <w:rPr>
          <w:rFonts w:ascii="宋体" w:hAnsi="宋体" w:eastAsia="宋体" w:cs="宋体"/>
          <w:color w:val="auto"/>
          <w:sz w:val="24"/>
          <w:szCs w:val="24"/>
          <w:highlight w:val="none"/>
        </w:rPr>
        <w:t>份，联合体各方各执一份，电子投标文件中提交一份。</w:t>
      </w:r>
    </w:p>
    <w:p w14:paraId="2C181A36">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（以下无正文）</w:t>
      </w:r>
    </w:p>
    <w:p w14:paraId="268E594B">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牵头方：</w:t>
      </w:r>
      <w:r>
        <w:rPr>
          <w:rFonts w:ascii="宋体" w:hAnsi="宋体" w:eastAsia="宋体" w:cs="宋体"/>
          <w:color w:val="auto"/>
          <w:sz w:val="24"/>
          <w:szCs w:val="24"/>
          <w:highlight w:val="none"/>
          <w:u w:val="single"/>
        </w:rPr>
        <w:t>（全称并加盖单位公章）</w:t>
      </w:r>
    </w:p>
    <w:p w14:paraId="1D6286CA">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法定代表人或其委托代理人：</w:t>
      </w:r>
      <w:r>
        <w:rPr>
          <w:rFonts w:ascii="宋体" w:hAnsi="宋体" w:eastAsia="宋体" w:cs="宋体"/>
          <w:color w:val="auto"/>
          <w:sz w:val="24"/>
          <w:szCs w:val="24"/>
          <w:highlight w:val="none"/>
          <w:u w:val="single"/>
        </w:rPr>
        <w:t xml:space="preserve"> （签字或盖章）</w:t>
      </w:r>
    </w:p>
    <w:p w14:paraId="4F7799CD">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成员一：</w:t>
      </w:r>
      <w:r>
        <w:rPr>
          <w:rFonts w:ascii="宋体" w:hAnsi="宋体" w:eastAsia="宋体" w:cs="宋体"/>
          <w:color w:val="auto"/>
          <w:sz w:val="24"/>
          <w:szCs w:val="24"/>
          <w:highlight w:val="none"/>
          <w:u w:val="single"/>
        </w:rPr>
        <w:t>（全称并加盖成员一的单位公章）</w:t>
      </w:r>
    </w:p>
    <w:p w14:paraId="52CFEB69">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法定代表人或其委托代理人：</w:t>
      </w:r>
      <w:r>
        <w:rPr>
          <w:rFonts w:ascii="宋体" w:hAnsi="宋体" w:eastAsia="宋体" w:cs="宋体"/>
          <w:color w:val="auto"/>
          <w:sz w:val="24"/>
          <w:szCs w:val="24"/>
          <w:highlight w:val="none"/>
          <w:u w:val="single"/>
        </w:rPr>
        <w:t xml:space="preserve"> （签字或盖章）</w:t>
      </w:r>
    </w:p>
    <w:p w14:paraId="639320EF">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0A2E39C5">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成员**：</w:t>
      </w:r>
      <w:r>
        <w:rPr>
          <w:rFonts w:ascii="宋体" w:hAnsi="宋体" w:eastAsia="宋体" w:cs="宋体"/>
          <w:color w:val="auto"/>
          <w:sz w:val="24"/>
          <w:szCs w:val="24"/>
          <w:highlight w:val="none"/>
          <w:u w:val="single"/>
        </w:rPr>
        <w:t>（全称并加盖成员**的单位公章）</w:t>
      </w:r>
    </w:p>
    <w:p w14:paraId="7B8EF078">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法定代表人或其委托代理人：</w:t>
      </w:r>
      <w:r>
        <w:rPr>
          <w:rFonts w:ascii="宋体" w:hAnsi="宋体" w:eastAsia="宋体" w:cs="宋体"/>
          <w:color w:val="auto"/>
          <w:sz w:val="24"/>
          <w:szCs w:val="24"/>
          <w:highlight w:val="none"/>
          <w:u w:val="single"/>
        </w:rPr>
        <w:t xml:space="preserve"> （签字或盖章）</w:t>
      </w:r>
    </w:p>
    <w:p w14:paraId="4782FD9B">
      <w:pPr>
        <w:pStyle w:val="16"/>
        <w:spacing w:line="280" w:lineRule="exact"/>
        <w:ind w:firstLine="482"/>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签署日期：</w:t>
      </w:r>
      <w:r>
        <w:rPr>
          <w:rFonts w:ascii="宋体" w:hAnsi="宋体" w:eastAsia="宋体" w:cs="宋体"/>
          <w:color w:val="auto"/>
          <w:sz w:val="24"/>
          <w:szCs w:val="24"/>
          <w:highlight w:val="none"/>
          <w:u w:val="single"/>
        </w:rPr>
        <w:t>　　年　　月　　日</w:t>
      </w:r>
    </w:p>
    <w:p w14:paraId="7B41273B">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079C766C">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1、招标文件接受联合体投标且投标人为联合体的，投标人应提供本协议；否则无须提供。</w:t>
      </w:r>
    </w:p>
    <w:p w14:paraId="56FE2231">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2、本协议由委托代理人签字或盖章的，应按照本章载明的格式提供“单位授权书”。</w:t>
      </w:r>
    </w:p>
    <w:p w14:paraId="208EAA30">
      <w:pPr>
        <w:pStyle w:val="16"/>
        <w:spacing w:line="28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3、在以联合体形式落实中小企业预留份额项目中，投标人除了要提供《中小企业声明函》，还需提供本协议。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2A965EA9">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二-6分包意向协议（若有）</w:t>
      </w:r>
    </w:p>
    <w:p w14:paraId="7FC3326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甲方（总包方）：</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（即本项目的投标人）</w:t>
      </w:r>
    </w:p>
    <w:p w14:paraId="0F6EA621">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乙方（分包方）：</w:t>
      </w:r>
      <w:r>
        <w:rPr>
          <w:rFonts w:ascii="宋体" w:hAnsi="宋体" w:eastAsia="宋体" w:cs="宋体"/>
          <w:color w:val="auto"/>
          <w:sz w:val="24"/>
          <w:szCs w:val="24"/>
          <w:highlight w:val="none"/>
          <w:u w:val="single"/>
        </w:rPr>
        <w:t>　　　　　　　</w:t>
      </w:r>
    </w:p>
    <w:p w14:paraId="1D2C3C2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兹有甲方参加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 xml:space="preserve"> 项目（项目编号：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14:paraId="652DDD7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一、分包标的</w:t>
      </w:r>
    </w:p>
    <w:p w14:paraId="6C02AE3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u w:val="single"/>
        </w:rPr>
        <w:t>（根据双方的意向填写，可以是表格或文字描述）。</w:t>
      </w:r>
    </w:p>
    <w:p w14:paraId="07EA603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二、分包合同金额占比</w:t>
      </w:r>
    </w:p>
    <w:p w14:paraId="0A97780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分包合同价占投标总价的比例：</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w:t>
      </w:r>
    </w:p>
    <w:p w14:paraId="4EE47ECB">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三、其他条款</w:t>
      </w:r>
    </w:p>
    <w:p w14:paraId="7A64DBE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567"/>
      </w:tblGrid>
      <w:tr w14:paraId="674E07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97E50C4">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w:t>
            </w:r>
          </w:p>
        </w:tc>
        <w:tc>
          <w:tcPr>
            <w:tcW w:w="4567" w:type="dxa"/>
          </w:tcPr>
          <w:p w14:paraId="7563C09E">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乙方：</w:t>
            </w:r>
          </w:p>
        </w:tc>
      </w:tr>
      <w:tr w14:paraId="5CF0CE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E2720B1">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w:t>
            </w:r>
          </w:p>
        </w:tc>
        <w:tc>
          <w:tcPr>
            <w:tcW w:w="4567" w:type="dxa"/>
          </w:tcPr>
          <w:p w14:paraId="11894592">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w:t>
            </w:r>
          </w:p>
        </w:tc>
      </w:tr>
      <w:tr w14:paraId="0222F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164B0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单位负责人或委托代理人：</w:t>
            </w:r>
          </w:p>
        </w:tc>
        <w:tc>
          <w:tcPr>
            <w:tcW w:w="4567" w:type="dxa"/>
          </w:tcPr>
          <w:p w14:paraId="1B256DBC">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单位负责人或委托代理人：</w:t>
            </w:r>
          </w:p>
        </w:tc>
      </w:tr>
      <w:tr w14:paraId="6CFD1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335DAFF">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w:t>
            </w:r>
          </w:p>
        </w:tc>
        <w:tc>
          <w:tcPr>
            <w:tcW w:w="4567" w:type="dxa"/>
          </w:tcPr>
          <w:p w14:paraId="0A18B492">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w:t>
            </w:r>
          </w:p>
        </w:tc>
      </w:tr>
      <w:tr w14:paraId="2BEABD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477AA8">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w:t>
            </w:r>
          </w:p>
        </w:tc>
        <w:tc>
          <w:tcPr>
            <w:tcW w:w="4567" w:type="dxa"/>
          </w:tcPr>
          <w:p w14:paraId="4C85D50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w:t>
            </w:r>
          </w:p>
        </w:tc>
      </w:tr>
      <w:tr w14:paraId="7EAE1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5B4BDFF">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账号：</w:t>
            </w:r>
          </w:p>
        </w:tc>
        <w:tc>
          <w:tcPr>
            <w:tcW w:w="4567" w:type="dxa"/>
          </w:tcPr>
          <w:p w14:paraId="170EF23D">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账号：</w:t>
            </w:r>
          </w:p>
        </w:tc>
      </w:tr>
      <w:tr w14:paraId="6A6E4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720" w:type="dxa"/>
            <w:gridSpan w:val="2"/>
          </w:tcPr>
          <w:p w14:paraId="328F8231">
            <w:pPr>
              <w:pStyle w:val="16"/>
              <w:ind w:firstLine="96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签订地点：</w:t>
            </w:r>
            <w:r>
              <w:rPr>
                <w:rFonts w:ascii="宋体" w:hAnsi="宋体" w:eastAsia="宋体" w:cs="宋体"/>
                <w:color w:val="auto"/>
                <w:sz w:val="24"/>
                <w:szCs w:val="24"/>
                <w:highlight w:val="none"/>
                <w:u w:val="single"/>
              </w:rPr>
              <w:t>　　　　　　　　　　</w:t>
            </w:r>
          </w:p>
          <w:p w14:paraId="7FAC3CDD">
            <w:pPr>
              <w:pStyle w:val="16"/>
              <w:ind w:firstLine="96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签约日期：</w:t>
            </w:r>
            <w:r>
              <w:rPr>
                <w:rFonts w:ascii="宋体" w:hAnsi="宋体" w:eastAsia="宋体" w:cs="宋体"/>
                <w:color w:val="auto"/>
                <w:sz w:val="24"/>
                <w:szCs w:val="24"/>
                <w:highlight w:val="none"/>
                <w:u w:val="single"/>
              </w:rPr>
              <w:t>　　年　　月　　日</w:t>
            </w:r>
          </w:p>
        </w:tc>
      </w:tr>
    </w:tbl>
    <w:p w14:paraId="1C661330">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6E1EDEA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1.招标文件接受合同分包且投标人拟将合同分包的，应提供本协议；否则无须提供。</w:t>
      </w:r>
    </w:p>
    <w:p w14:paraId="2486246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2.本协议由委托代理人签字或盖章的，应按照本章载明的格式提供“单位授权书”。</w:t>
      </w:r>
    </w:p>
    <w:p w14:paraId="4103FED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3.在以合同分包形式落实中小企业预留份额项目中，投标人除了要提供《中小企业声明函》，还需提供本协议。</w:t>
      </w:r>
    </w:p>
    <w:p w14:paraId="3DA24795">
      <w:pPr>
        <w:pStyle w:val="16"/>
        <w:ind w:firstLine="96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160F6841">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二-7其他资格证明文件（若有）</w:t>
      </w:r>
    </w:p>
    <w:p w14:paraId="67EA8345">
      <w:pPr>
        <w:pStyle w:val="16"/>
        <w:jc w:val="center"/>
        <w:outlineLvl w:val="3"/>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二-7-①招标文件规定的其他资格证明文件（若有）</w:t>
      </w:r>
    </w:p>
    <w:p w14:paraId="51748F39">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14:paraId="487AA77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除招标文件另有规定外，招标文件要求提交的除前述资格证明文件外的其他资格证明文件（若有）加盖投标人的单位公章后应在此项下提交。</w:t>
      </w:r>
    </w:p>
    <w:p w14:paraId="35D8A11F">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0583B196">
      <w:pPr>
        <w:pStyle w:val="16"/>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三、投标保证金</w:t>
      </w:r>
    </w:p>
    <w:p w14:paraId="6ABB4A7A">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14:paraId="7CE4AD0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1、在此项下提交的“投标保证金”材料可使用转账凭证复印件或从福建省政府采购网上公开信息系统中下载的有关原始页面的打印件。</w:t>
      </w:r>
    </w:p>
    <w:p w14:paraId="3EDC7261">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2、投标保证金是否已提交的认定按照招标文件第三章规定执行。</w:t>
      </w:r>
    </w:p>
    <w:p w14:paraId="6800BF5D">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168FDD4E">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封面格式(报价部分)</w:t>
      </w:r>
    </w:p>
    <w:p w14:paraId="6824EDDE">
      <w:pPr>
        <w:pStyle w:val="16"/>
        <w:jc w:val="center"/>
        <w:outlineLvl w:val="0"/>
        <w:rPr>
          <w:rFonts w:hint="default" w:ascii="宋体" w:hAnsi="宋体" w:eastAsia="宋体" w:cs="宋体"/>
          <w:color w:val="auto"/>
          <w:sz w:val="52"/>
          <w:szCs w:val="52"/>
          <w:highlight w:val="none"/>
        </w:rPr>
      </w:pPr>
      <w:r>
        <w:rPr>
          <w:rFonts w:ascii="宋体" w:hAnsi="宋体" w:eastAsia="宋体" w:cs="宋体"/>
          <w:b/>
          <w:color w:val="auto"/>
          <w:sz w:val="52"/>
          <w:szCs w:val="52"/>
          <w:highlight w:val="none"/>
        </w:rPr>
        <w:t>福建省政府采购投标文件</w:t>
      </w:r>
    </w:p>
    <w:p w14:paraId="12B6188D">
      <w:pPr>
        <w:pStyle w:val="16"/>
        <w:jc w:val="center"/>
        <w:outlineLvl w:val="0"/>
        <w:rPr>
          <w:rFonts w:hint="default" w:ascii="宋体" w:hAnsi="宋体" w:eastAsia="宋体" w:cs="宋体"/>
          <w:color w:val="auto"/>
          <w:sz w:val="28"/>
          <w:szCs w:val="28"/>
          <w:highlight w:val="none"/>
        </w:rPr>
      </w:pPr>
      <w:r>
        <w:rPr>
          <w:rFonts w:ascii="宋体" w:hAnsi="宋体" w:eastAsia="宋体" w:cs="宋体"/>
          <w:b/>
          <w:color w:val="auto"/>
          <w:sz w:val="52"/>
          <w:szCs w:val="52"/>
          <w:highlight w:val="none"/>
        </w:rPr>
        <w:t>（报价部分）</w:t>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p>
    <w:p w14:paraId="3ADD2FA8">
      <w:pPr>
        <w:pStyle w:val="16"/>
        <w:jc w:val="center"/>
        <w:outlineLvl w:val="1"/>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（填写正本或副本）</w:t>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p>
    <w:p w14:paraId="1828BB01">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项目名称：（由投标人填写）</w:t>
      </w:r>
    </w:p>
    <w:p w14:paraId="73C49C12">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备案编号：（由投标人填写）</w:t>
      </w:r>
    </w:p>
    <w:p w14:paraId="677E4D59">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项目编号：（由投标人填写）</w:t>
      </w:r>
    </w:p>
    <w:p w14:paraId="63D9B2D2">
      <w:pPr>
        <w:pStyle w:val="16"/>
        <w:jc w:val="center"/>
        <w:outlineLvl w:val="2"/>
        <w:rPr>
          <w:rFonts w:hint="default" w:ascii="宋体" w:hAnsi="宋体" w:eastAsia="宋体" w:cs="宋体"/>
          <w:b/>
          <w:color w:val="auto"/>
          <w:sz w:val="28"/>
          <w:szCs w:val="28"/>
          <w:highlight w:val="none"/>
        </w:rPr>
      </w:pPr>
      <w:r>
        <w:rPr>
          <w:rFonts w:ascii="宋体" w:hAnsi="宋体" w:eastAsia="宋体" w:cs="宋体"/>
          <w:b/>
          <w:color w:val="auto"/>
          <w:sz w:val="28"/>
          <w:szCs w:val="28"/>
          <w:highlight w:val="none"/>
        </w:rPr>
        <w:t>所投采购包：（由投标人填写）</w:t>
      </w:r>
    </w:p>
    <w:p w14:paraId="287A6596">
      <w:pPr>
        <w:pStyle w:val="16"/>
        <w:jc w:val="center"/>
        <w:outlineLvl w:val="2"/>
        <w:rPr>
          <w:rFonts w:hint="default" w:ascii="宋体" w:hAnsi="宋体" w:eastAsia="宋体" w:cs="宋体"/>
          <w:b/>
          <w:color w:val="auto"/>
          <w:sz w:val="28"/>
          <w:szCs w:val="28"/>
          <w:highlight w:val="none"/>
        </w:rPr>
      </w:pPr>
    </w:p>
    <w:p w14:paraId="5D2A52F1">
      <w:pPr>
        <w:pStyle w:val="16"/>
        <w:jc w:val="center"/>
        <w:outlineLvl w:val="2"/>
        <w:rPr>
          <w:rFonts w:hint="default" w:ascii="宋体" w:hAnsi="宋体" w:eastAsia="宋体" w:cs="宋体"/>
          <w:b/>
          <w:color w:val="auto"/>
          <w:sz w:val="28"/>
          <w:szCs w:val="28"/>
          <w:highlight w:val="none"/>
        </w:rPr>
      </w:pPr>
    </w:p>
    <w:p w14:paraId="5255D31B">
      <w:pPr>
        <w:pStyle w:val="16"/>
        <w:jc w:val="center"/>
        <w:outlineLvl w:val="2"/>
        <w:rPr>
          <w:rFonts w:hint="default" w:ascii="宋体" w:hAnsi="宋体" w:eastAsia="宋体" w:cs="宋体"/>
          <w:b/>
          <w:color w:val="auto"/>
          <w:sz w:val="28"/>
          <w:szCs w:val="28"/>
          <w:highlight w:val="none"/>
        </w:rPr>
      </w:pPr>
    </w:p>
    <w:p w14:paraId="6C84F286">
      <w:pPr>
        <w:pStyle w:val="16"/>
        <w:jc w:val="both"/>
        <w:outlineLvl w:val="2"/>
        <w:rPr>
          <w:rFonts w:hint="default" w:ascii="宋体" w:hAnsi="宋体" w:eastAsia="宋体" w:cs="宋体"/>
          <w:b/>
          <w:color w:val="auto"/>
          <w:sz w:val="28"/>
          <w:szCs w:val="28"/>
          <w:highlight w:val="none"/>
        </w:rPr>
      </w:pPr>
    </w:p>
    <w:p w14:paraId="54584F94">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投标人：（填写“全称”）</w:t>
      </w:r>
    </w:p>
    <w:p w14:paraId="339A22FB">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（由投标人填写）年（由投标人填写）月</w:t>
      </w:r>
    </w:p>
    <w:p w14:paraId="784EC4B3">
      <w:pPr>
        <w:pStyle w:val="16"/>
        <w:rPr>
          <w:rFonts w:hint="default" w:ascii="宋体" w:hAnsi="宋体" w:eastAsia="宋体" w:cs="宋体"/>
          <w:color w:val="auto"/>
          <w:sz w:val="24"/>
          <w:szCs w:val="24"/>
          <w:highlight w:val="none"/>
        </w:rPr>
      </w:pPr>
      <w:r>
        <w:rPr>
          <w:rFonts w:ascii="宋体" w:hAnsi="宋体" w:eastAsia="宋体" w:cs="宋体"/>
          <w:color w:val="auto"/>
          <w:sz w:val="28"/>
          <w:szCs w:val="28"/>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6588D22B">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索引</w:t>
      </w:r>
    </w:p>
    <w:p w14:paraId="20B552C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一、开标（报价）一览表</w:t>
      </w:r>
    </w:p>
    <w:p w14:paraId="420E0DF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二、投标（响应）报价明细表</w:t>
      </w:r>
    </w:p>
    <w:p w14:paraId="359E68D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三、招标文件规定的价格扣除证明材料（若有）</w:t>
      </w:r>
    </w:p>
    <w:p w14:paraId="4EC33DA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40E37147">
      <w:pPr>
        <w:pStyle w:val="16"/>
        <w:jc w:val="center"/>
        <w:outlineLvl w:val="0"/>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开标（报价）一览表</w:t>
      </w:r>
    </w:p>
    <w:p w14:paraId="1E399355">
      <w:pPr>
        <w:pStyle w:val="16"/>
        <w:ind w:right="165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 xml:space="preserve">[350001]FJZSZB[GK]2026004                   </w:t>
      </w:r>
    </w:p>
    <w:p w14:paraId="223E96E9">
      <w:pPr>
        <w:pStyle w:val="16"/>
        <w:spacing w:line="375"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摇奖机采购项目</w:t>
      </w:r>
    </w:p>
    <w:p w14:paraId="3B86E5D4">
      <w:pPr>
        <w:pStyle w:val="16"/>
        <w:spacing w:line="375"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r>
        <w:rPr>
          <w:rFonts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摇奖机采购项目</w:t>
      </w:r>
      <w:r>
        <w:rPr>
          <w:rFonts w:ascii="宋体" w:hAnsi="宋体" w:eastAsia="宋体" w:cs="宋体"/>
          <w:color w:val="auto"/>
          <w:sz w:val="24"/>
          <w:szCs w:val="24"/>
          <w:highlight w:val="none"/>
          <w:lang w:val="en-US" w:eastAsia="zh-CN"/>
        </w:rPr>
        <w:t xml:space="preserve">) </w:t>
      </w:r>
    </w:p>
    <w:p w14:paraId="45A1DC3F">
      <w:pPr>
        <w:pStyle w:val="16"/>
        <w:spacing w:line="375"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投标人（供应商）名称：</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2567"/>
        <w:gridCol w:w="1661"/>
        <w:gridCol w:w="2072"/>
        <w:gridCol w:w="1605"/>
      </w:tblGrid>
      <w:tr w14:paraId="64545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7" w:hRule="atLeast"/>
        </w:trPr>
        <w:tc>
          <w:tcPr>
            <w:tcW w:w="755" w:type="dxa"/>
            <w:vAlign w:val="center"/>
          </w:tcPr>
          <w:p w14:paraId="285B90EA">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567" w:type="dxa"/>
            <w:vAlign w:val="center"/>
          </w:tcPr>
          <w:p w14:paraId="100ACE24">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报价内容</w:t>
            </w:r>
          </w:p>
        </w:tc>
        <w:tc>
          <w:tcPr>
            <w:tcW w:w="1661" w:type="dxa"/>
            <w:vAlign w:val="center"/>
          </w:tcPr>
          <w:p w14:paraId="0382C444">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最高限价</w:t>
            </w:r>
          </w:p>
        </w:tc>
        <w:tc>
          <w:tcPr>
            <w:tcW w:w="2072" w:type="dxa"/>
            <w:vAlign w:val="center"/>
          </w:tcPr>
          <w:p w14:paraId="7391C4D5">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响应报价</w:t>
            </w:r>
          </w:p>
        </w:tc>
        <w:tc>
          <w:tcPr>
            <w:tcW w:w="1605" w:type="dxa"/>
            <w:vAlign w:val="center"/>
          </w:tcPr>
          <w:p w14:paraId="038BEC34">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价款形式</w:t>
            </w:r>
          </w:p>
        </w:tc>
      </w:tr>
      <w:tr w14:paraId="7FA80E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52" w:hRule="atLeast"/>
        </w:trPr>
        <w:tc>
          <w:tcPr>
            <w:tcW w:w="755" w:type="dxa"/>
            <w:vAlign w:val="center"/>
          </w:tcPr>
          <w:p w14:paraId="40C5D589">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567" w:type="dxa"/>
            <w:vAlign w:val="center"/>
          </w:tcPr>
          <w:p w14:paraId="78673C9B">
            <w:pPr>
              <w:pStyle w:val="16"/>
              <w:rPr>
                <w:rFonts w:hint="default"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摇奖机采购项目</w:t>
            </w:r>
          </w:p>
        </w:tc>
        <w:tc>
          <w:tcPr>
            <w:tcW w:w="1661" w:type="dxa"/>
            <w:vAlign w:val="center"/>
          </w:tcPr>
          <w:p w14:paraId="386CA6A6">
            <w:pPr>
              <w:pStyle w:val="16"/>
              <w:jc w:val="center"/>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9000000</w:t>
            </w:r>
            <w:r>
              <w:rPr>
                <w:rFonts w:ascii="宋体" w:hAnsi="宋体" w:eastAsia="宋体" w:cs="宋体"/>
                <w:color w:val="auto"/>
                <w:sz w:val="24"/>
                <w:szCs w:val="24"/>
                <w:highlight w:val="none"/>
              </w:rPr>
              <w:t>元</w:t>
            </w:r>
          </w:p>
        </w:tc>
        <w:tc>
          <w:tcPr>
            <w:tcW w:w="2072" w:type="dxa"/>
            <w:vAlign w:val="center"/>
          </w:tcPr>
          <w:p w14:paraId="2D4BBE4F">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「汇总引用」元</w:t>
            </w:r>
          </w:p>
        </w:tc>
        <w:tc>
          <w:tcPr>
            <w:tcW w:w="1605" w:type="dxa"/>
            <w:vAlign w:val="center"/>
          </w:tcPr>
          <w:p w14:paraId="0F9ADA25">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总价</w:t>
            </w:r>
          </w:p>
        </w:tc>
      </w:tr>
    </w:tbl>
    <w:p w14:paraId="2EAD314C">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备注：无</w:t>
      </w:r>
    </w:p>
    <w:p w14:paraId="674B1A80">
      <w:pPr>
        <w:pStyle w:val="16"/>
        <w:rPr>
          <w:rFonts w:ascii="宋体" w:hAnsi="宋体" w:eastAsia="宋体" w:cs="宋体"/>
          <w:color w:val="auto"/>
          <w:sz w:val="24"/>
          <w:szCs w:val="24"/>
          <w:highlight w:val="none"/>
        </w:rPr>
      </w:pPr>
    </w:p>
    <w:p w14:paraId="4B55DA22">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时间：     年     月     日</w:t>
      </w:r>
    </w:p>
    <w:p w14:paraId="47CF401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签章：                     </w:t>
      </w:r>
    </w:p>
    <w:p w14:paraId="4305C919">
      <w:pPr>
        <w:pStyle w:val="16"/>
        <w:jc w:val="center"/>
        <w:outlineLvl w:val="0"/>
        <w:rPr>
          <w:rFonts w:hint="default" w:ascii="宋体" w:hAnsi="宋体" w:eastAsia="宋体" w:cs="宋体"/>
          <w:b/>
          <w:color w:val="auto"/>
          <w:sz w:val="24"/>
          <w:szCs w:val="24"/>
          <w:highlight w:val="none"/>
        </w:rPr>
      </w:pPr>
    </w:p>
    <w:p w14:paraId="6D4752D0">
      <w:pPr>
        <w:pStyle w:val="16"/>
        <w:jc w:val="center"/>
        <w:outlineLvl w:val="0"/>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投标（响应）报价明细表</w:t>
      </w:r>
    </w:p>
    <w:p w14:paraId="39468049">
      <w:pPr>
        <w:pStyle w:val="16"/>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 xml:space="preserve">[350001]FJZSZB[GK]2026004                    </w:t>
      </w:r>
    </w:p>
    <w:p w14:paraId="49C53445">
      <w:pPr>
        <w:pStyle w:val="16"/>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摇奖机采购项目</w:t>
      </w:r>
    </w:p>
    <w:p w14:paraId="0B28C2E7">
      <w:pPr>
        <w:pStyle w:val="16"/>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采购包：</w:t>
      </w:r>
      <w:r>
        <w:rPr>
          <w:rFonts w:hint="eastAsia" w:ascii="宋体" w:hAnsi="宋体" w:eastAsia="宋体" w:cs="宋体"/>
          <w:color w:val="auto"/>
          <w:sz w:val="24"/>
          <w:szCs w:val="24"/>
          <w:highlight w:val="none"/>
          <w:lang w:val="en-US" w:eastAsia="zh-CN"/>
        </w:rPr>
        <w:t>摇奖机采购项目</w:t>
      </w:r>
    </w:p>
    <w:p w14:paraId="75CC5625">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投标人名称：</w:t>
      </w:r>
    </w:p>
    <w:p w14:paraId="76116397">
      <w:pPr>
        <w:pStyle w:val="16"/>
        <w:rPr>
          <w:rFonts w:hint="default"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摇奖机采购项目</w:t>
      </w:r>
    </w:p>
    <w:tbl>
      <w:tblPr>
        <w:tblStyle w:val="11"/>
        <w:tblW w:w="499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7"/>
        <w:gridCol w:w="627"/>
        <w:gridCol w:w="629"/>
        <w:gridCol w:w="629"/>
        <w:gridCol w:w="629"/>
        <w:gridCol w:w="629"/>
        <w:gridCol w:w="1056"/>
        <w:gridCol w:w="629"/>
        <w:gridCol w:w="1054"/>
        <w:gridCol w:w="627"/>
        <w:gridCol w:w="629"/>
        <w:gridCol w:w="630"/>
        <w:gridCol w:w="630"/>
      </w:tblGrid>
      <w:tr w14:paraId="76FB5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2" w:type="pct"/>
          </w:tcPr>
          <w:p w14:paraId="0AA0B092">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序号</w:t>
            </w:r>
          </w:p>
        </w:tc>
        <w:tc>
          <w:tcPr>
            <w:tcW w:w="352" w:type="pct"/>
          </w:tcPr>
          <w:p w14:paraId="6B508B19">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货物名称</w:t>
            </w:r>
          </w:p>
        </w:tc>
        <w:tc>
          <w:tcPr>
            <w:tcW w:w="353" w:type="pct"/>
          </w:tcPr>
          <w:p w14:paraId="3D0758D1">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规格型号</w:t>
            </w:r>
          </w:p>
        </w:tc>
        <w:tc>
          <w:tcPr>
            <w:tcW w:w="353" w:type="pct"/>
          </w:tcPr>
          <w:p w14:paraId="67814C64">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品牌</w:t>
            </w:r>
          </w:p>
        </w:tc>
        <w:tc>
          <w:tcPr>
            <w:tcW w:w="353" w:type="pct"/>
          </w:tcPr>
          <w:p w14:paraId="5A4BC0A0">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制造商名称</w:t>
            </w:r>
          </w:p>
        </w:tc>
        <w:tc>
          <w:tcPr>
            <w:tcW w:w="353" w:type="pct"/>
          </w:tcPr>
          <w:p w14:paraId="7CEE8B99">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产地</w:t>
            </w:r>
          </w:p>
        </w:tc>
        <w:tc>
          <w:tcPr>
            <w:tcW w:w="521" w:type="pct"/>
          </w:tcPr>
          <w:p w14:paraId="016512DF">
            <w:pPr>
              <w:pStyle w:val="16"/>
              <w:jc w:val="left"/>
              <w:rPr>
                <w:rFonts w:asciiTheme="minorEastAsia" w:hAnsiTheme="minorEastAsia" w:eastAsiaTheme="minorEastAsia" w:cstheme="minorEastAsia"/>
                <w:color w:val="auto"/>
                <w:sz w:val="24"/>
                <w:szCs w:val="24"/>
              </w:rPr>
            </w:pPr>
            <w:r>
              <w:rPr>
                <w:rFonts w:asciiTheme="minorEastAsia" w:hAnsiTheme="minorEastAsia" w:eastAsiaTheme="minorEastAsia" w:cstheme="minorEastAsia"/>
                <w:color w:val="auto"/>
                <w:sz w:val="24"/>
                <w:szCs w:val="24"/>
              </w:rPr>
              <w:t>最高</w:t>
            </w:r>
          </w:p>
          <w:p w14:paraId="13F917F9">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限价</w:t>
            </w:r>
          </w:p>
        </w:tc>
        <w:tc>
          <w:tcPr>
            <w:tcW w:w="353" w:type="pct"/>
          </w:tcPr>
          <w:p w14:paraId="47F9E6D9">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单价</w:t>
            </w:r>
          </w:p>
        </w:tc>
        <w:tc>
          <w:tcPr>
            <w:tcW w:w="588" w:type="pct"/>
          </w:tcPr>
          <w:p w14:paraId="52D072C3">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数量</w:t>
            </w:r>
          </w:p>
        </w:tc>
        <w:tc>
          <w:tcPr>
            <w:tcW w:w="352" w:type="pct"/>
          </w:tcPr>
          <w:p w14:paraId="0D95A507">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计量单位</w:t>
            </w:r>
          </w:p>
        </w:tc>
        <w:tc>
          <w:tcPr>
            <w:tcW w:w="353" w:type="pct"/>
          </w:tcPr>
          <w:p w14:paraId="2FAD0608">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总价</w:t>
            </w:r>
          </w:p>
        </w:tc>
        <w:tc>
          <w:tcPr>
            <w:tcW w:w="353" w:type="pct"/>
          </w:tcPr>
          <w:p w14:paraId="4FC64B65">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是否环境标志产品</w:t>
            </w:r>
          </w:p>
        </w:tc>
        <w:tc>
          <w:tcPr>
            <w:tcW w:w="353" w:type="pct"/>
          </w:tcPr>
          <w:p w14:paraId="5CFB2C89">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是否节能产品</w:t>
            </w:r>
          </w:p>
        </w:tc>
      </w:tr>
      <w:tr w14:paraId="08F6B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2" w:type="pct"/>
            <w:vAlign w:val="center"/>
          </w:tcPr>
          <w:p w14:paraId="3FE3ECFC">
            <w:pPr>
              <w:pStyle w:val="16"/>
              <w:jc w:val="both"/>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 xml:space="preserve"> 1</w:t>
            </w:r>
          </w:p>
        </w:tc>
        <w:tc>
          <w:tcPr>
            <w:tcW w:w="352" w:type="pct"/>
          </w:tcPr>
          <w:p w14:paraId="1407BEA1">
            <w:pPr>
              <w:pStyle w:val="16"/>
              <w:jc w:val="left"/>
              <w:rPr>
                <w:rFonts w:asciiTheme="minorEastAsia" w:hAnsiTheme="minorEastAsia" w:cstheme="minorEastAsia"/>
                <w:color w:val="auto"/>
                <w:sz w:val="24"/>
                <w:szCs w:val="24"/>
              </w:rPr>
            </w:pPr>
            <w:r>
              <w:rPr>
                <w:rFonts w:hint="eastAsia" w:ascii="宋体" w:hAnsi="宋体" w:eastAsia="宋体" w:cs="宋体"/>
                <w:color w:val="auto"/>
                <w:sz w:val="24"/>
                <w:szCs w:val="24"/>
                <w:highlight w:val="none"/>
                <w:lang w:val="en-US" w:eastAsia="zh-CN"/>
              </w:rPr>
              <w:t>摇奖机采购项目</w:t>
            </w:r>
          </w:p>
        </w:tc>
        <w:tc>
          <w:tcPr>
            <w:tcW w:w="353" w:type="pct"/>
          </w:tcPr>
          <w:p w14:paraId="28F218A2">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w:t>
            </w:r>
          </w:p>
        </w:tc>
        <w:tc>
          <w:tcPr>
            <w:tcW w:w="353" w:type="pct"/>
          </w:tcPr>
          <w:p w14:paraId="521617B3">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w:t>
            </w:r>
          </w:p>
        </w:tc>
        <w:tc>
          <w:tcPr>
            <w:tcW w:w="353" w:type="pct"/>
          </w:tcPr>
          <w:p w14:paraId="7D46B1C7">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w:t>
            </w:r>
          </w:p>
        </w:tc>
        <w:tc>
          <w:tcPr>
            <w:tcW w:w="353" w:type="pct"/>
          </w:tcPr>
          <w:p w14:paraId="163A2F13">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w:t>
            </w:r>
          </w:p>
        </w:tc>
        <w:tc>
          <w:tcPr>
            <w:tcW w:w="521" w:type="pct"/>
          </w:tcPr>
          <w:p w14:paraId="2F7F6DE7">
            <w:pPr>
              <w:pStyle w:val="16"/>
              <w:jc w:val="left"/>
              <w:rPr>
                <w:rFonts w:asciiTheme="minorEastAsia" w:hAnsiTheme="minorEastAsia" w:cstheme="minorEastAsia"/>
                <w:color w:val="auto"/>
                <w:sz w:val="24"/>
                <w:szCs w:val="24"/>
              </w:rPr>
            </w:pPr>
            <w:r>
              <w:rPr>
                <w:rFonts w:hint="eastAsia" w:ascii="宋体" w:hAnsi="宋体" w:eastAsia="宋体" w:cs="宋体"/>
                <w:color w:val="auto"/>
                <w:sz w:val="24"/>
                <w:szCs w:val="24"/>
                <w:highlight w:val="none"/>
                <w:lang w:val="en-US" w:eastAsia="zh-CN"/>
              </w:rPr>
              <w:t>9000000</w:t>
            </w:r>
            <w:r>
              <w:rPr>
                <w:rFonts w:asciiTheme="minorEastAsia" w:hAnsiTheme="minorEastAsia" w:eastAsiaTheme="minorEastAsia" w:cstheme="minorEastAsia"/>
                <w:color w:val="auto"/>
                <w:sz w:val="24"/>
                <w:szCs w:val="24"/>
              </w:rPr>
              <w:t xml:space="preserve">  元</w:t>
            </w:r>
          </w:p>
        </w:tc>
        <w:tc>
          <w:tcPr>
            <w:tcW w:w="353" w:type="pct"/>
          </w:tcPr>
          <w:p w14:paraId="6412F168">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{=总价/数量}  元</w:t>
            </w:r>
          </w:p>
        </w:tc>
        <w:tc>
          <w:tcPr>
            <w:tcW w:w="588" w:type="pct"/>
          </w:tcPr>
          <w:p w14:paraId="3B391282">
            <w:pPr>
              <w:pStyle w:val="16"/>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lang w:val="en-US" w:eastAsia="zh-CN"/>
              </w:rPr>
              <w:t>7</w:t>
            </w:r>
            <w:r>
              <w:rPr>
                <w:rFonts w:asciiTheme="minorEastAsia" w:hAnsiTheme="minorEastAsia" w:eastAsiaTheme="minorEastAsia" w:cstheme="minorEastAsia"/>
                <w:color w:val="auto"/>
                <w:sz w:val="24"/>
                <w:szCs w:val="24"/>
              </w:rPr>
              <w:t>.0000</w:t>
            </w:r>
          </w:p>
        </w:tc>
        <w:tc>
          <w:tcPr>
            <w:tcW w:w="352" w:type="pct"/>
          </w:tcPr>
          <w:p w14:paraId="671CD981">
            <w:pPr>
              <w:pStyle w:val="16"/>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color w:val="auto"/>
                <w:sz w:val="24"/>
                <w:szCs w:val="24"/>
                <w:lang w:val="en-US" w:eastAsia="zh-CN"/>
              </w:rPr>
              <w:t>台</w:t>
            </w:r>
          </w:p>
        </w:tc>
        <w:tc>
          <w:tcPr>
            <w:tcW w:w="353" w:type="pct"/>
          </w:tcPr>
          <w:p w14:paraId="68F2C093">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  元</w:t>
            </w:r>
          </w:p>
        </w:tc>
        <w:tc>
          <w:tcPr>
            <w:tcW w:w="353" w:type="pct"/>
          </w:tcPr>
          <w:p w14:paraId="01435F5F">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w:t>
            </w:r>
          </w:p>
        </w:tc>
        <w:tc>
          <w:tcPr>
            <w:tcW w:w="353" w:type="pct"/>
          </w:tcPr>
          <w:p w14:paraId="5BAEC19F">
            <w:pPr>
              <w:pStyle w:val="16"/>
              <w:jc w:val="left"/>
              <w:rPr>
                <w:rFonts w:asciiTheme="minorEastAsia" w:hAnsiTheme="minorEastAsia" w:cstheme="minorEastAsia"/>
                <w:color w:val="auto"/>
                <w:sz w:val="24"/>
                <w:szCs w:val="24"/>
              </w:rPr>
            </w:pPr>
            <w:r>
              <w:rPr>
                <w:rFonts w:asciiTheme="minorEastAsia" w:hAnsiTheme="minorEastAsia" w:eastAsiaTheme="minorEastAsia" w:cstheme="minorEastAsia"/>
                <w:color w:val="auto"/>
                <w:sz w:val="24"/>
                <w:szCs w:val="24"/>
              </w:rPr>
              <w:t>{供应商响应}</w:t>
            </w:r>
          </w:p>
        </w:tc>
      </w:tr>
    </w:tbl>
    <w:p w14:paraId="10625AB4">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合计：</w:t>
      </w:r>
    </w:p>
    <w:p w14:paraId="4F98AACB">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备注：无</w:t>
      </w:r>
    </w:p>
    <w:p w14:paraId="02CE4EE8">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时间：     年     月     日</w:t>
      </w:r>
    </w:p>
    <w:p w14:paraId="1032B66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签章：                     </w:t>
      </w:r>
    </w:p>
    <w:p w14:paraId="79B9F7D4">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378BAA0C">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三、招标文件规定的价格扣除证明材料（若有）</w:t>
      </w:r>
    </w:p>
    <w:p w14:paraId="5B063D96">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三-1优先类节能产品、环境标志产品价格扣除证明材料（若有）</w:t>
      </w:r>
    </w:p>
    <w:p w14:paraId="3FDFD71E">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三-1-①优先类节能产品、环境标志产品统计表（价格扣除适用，若有）</w:t>
      </w:r>
    </w:p>
    <w:p w14:paraId="09EFB260">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7"/>
        <w:gridCol w:w="1187"/>
        <w:gridCol w:w="1187"/>
        <w:gridCol w:w="5144"/>
      </w:tblGrid>
      <w:tr w14:paraId="567A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187" w:type="dxa"/>
          </w:tcPr>
          <w:p w14:paraId="72EA7058">
            <w:pPr>
              <w:rPr>
                <w:rFonts w:ascii="宋体" w:hAnsi="宋体" w:eastAsia="宋体" w:cs="宋体"/>
                <w:color w:val="auto"/>
                <w:sz w:val="24"/>
                <w:highlight w:val="none"/>
              </w:rPr>
            </w:pPr>
          </w:p>
        </w:tc>
        <w:tc>
          <w:tcPr>
            <w:tcW w:w="7518" w:type="dxa"/>
            <w:gridSpan w:val="3"/>
          </w:tcPr>
          <w:p w14:paraId="5475E797">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本采购包内属于节能、环境标志产品情况</w:t>
            </w:r>
          </w:p>
        </w:tc>
      </w:tr>
      <w:tr w14:paraId="015A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187" w:type="dxa"/>
          </w:tcPr>
          <w:p w14:paraId="01361F93">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187" w:type="dxa"/>
          </w:tcPr>
          <w:p w14:paraId="1A10A6A8">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1187" w:type="dxa"/>
          </w:tcPr>
          <w:p w14:paraId="379D4573">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产品名称</w:t>
            </w:r>
          </w:p>
        </w:tc>
        <w:tc>
          <w:tcPr>
            <w:tcW w:w="5144" w:type="dxa"/>
          </w:tcPr>
          <w:p w14:paraId="27FA611F">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认证种类</w:t>
            </w:r>
          </w:p>
        </w:tc>
      </w:tr>
      <w:tr w14:paraId="21DC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vMerge w:val="restart"/>
          </w:tcPr>
          <w:p w14:paraId="59A9FD8F">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187" w:type="dxa"/>
          </w:tcPr>
          <w:p w14:paraId="7993CB62">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187" w:type="dxa"/>
          </w:tcPr>
          <w:p w14:paraId="3ED876F7">
            <w:pPr>
              <w:rPr>
                <w:rFonts w:ascii="宋体" w:hAnsi="宋体" w:eastAsia="宋体" w:cs="宋体"/>
                <w:color w:val="auto"/>
                <w:sz w:val="24"/>
                <w:highlight w:val="none"/>
              </w:rPr>
            </w:pPr>
          </w:p>
        </w:tc>
        <w:tc>
          <w:tcPr>
            <w:tcW w:w="5144" w:type="dxa"/>
          </w:tcPr>
          <w:p w14:paraId="31CF3258">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供应商自行填写种类，并上传证明附件以便评审查看</w:t>
            </w:r>
          </w:p>
        </w:tc>
      </w:tr>
      <w:tr w14:paraId="473F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vMerge w:val="continue"/>
          </w:tcPr>
          <w:p w14:paraId="1EF48E88">
            <w:pPr>
              <w:rPr>
                <w:rFonts w:ascii="宋体" w:hAnsi="宋体" w:eastAsia="宋体" w:cs="宋体"/>
                <w:color w:val="auto"/>
                <w:sz w:val="24"/>
                <w:highlight w:val="none"/>
              </w:rPr>
            </w:pPr>
          </w:p>
        </w:tc>
        <w:tc>
          <w:tcPr>
            <w:tcW w:w="1187" w:type="dxa"/>
          </w:tcPr>
          <w:p w14:paraId="71C73BCA">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0BC123F6">
            <w:pPr>
              <w:pStyle w:val="16"/>
              <w:rPr>
                <w:rFonts w:hint="default" w:ascii="宋体" w:hAnsi="宋体" w:eastAsia="宋体" w:cs="宋体"/>
                <w:color w:val="auto"/>
                <w:sz w:val="24"/>
                <w:szCs w:val="24"/>
                <w:highlight w:val="none"/>
              </w:rPr>
            </w:pPr>
          </w:p>
        </w:tc>
        <w:tc>
          <w:tcPr>
            <w:tcW w:w="1187" w:type="dxa"/>
          </w:tcPr>
          <w:p w14:paraId="17138773">
            <w:pPr>
              <w:rPr>
                <w:rFonts w:ascii="宋体" w:hAnsi="宋体" w:eastAsia="宋体" w:cs="宋体"/>
                <w:color w:val="auto"/>
                <w:sz w:val="24"/>
                <w:highlight w:val="none"/>
              </w:rPr>
            </w:pPr>
          </w:p>
        </w:tc>
        <w:tc>
          <w:tcPr>
            <w:tcW w:w="5144" w:type="dxa"/>
          </w:tcPr>
          <w:p w14:paraId="2B57BE5D">
            <w:pPr>
              <w:rPr>
                <w:rFonts w:ascii="宋体" w:hAnsi="宋体" w:eastAsia="宋体" w:cs="宋体"/>
                <w:color w:val="auto"/>
                <w:sz w:val="24"/>
                <w:highlight w:val="none"/>
              </w:rPr>
            </w:pPr>
          </w:p>
        </w:tc>
      </w:tr>
      <w:tr w14:paraId="08F9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187" w:type="dxa"/>
          </w:tcPr>
          <w:p w14:paraId="682E6CEE">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c>
          <w:tcPr>
            <w:tcW w:w="7518" w:type="dxa"/>
            <w:gridSpan w:val="3"/>
          </w:tcPr>
          <w:p w14:paraId="7F05E9EF">
            <w:pPr>
              <w:pStyle w:val="16"/>
              <w:rPr>
                <w:rFonts w:hint="default" w:ascii="宋体" w:hAnsi="宋体" w:eastAsia="宋体" w:cs="宋体"/>
                <w:color w:val="auto"/>
                <w:sz w:val="24"/>
                <w:szCs w:val="24"/>
                <w:highlight w:val="none"/>
              </w:rPr>
            </w:pPr>
          </w:p>
        </w:tc>
      </w:tr>
    </w:tbl>
    <w:p w14:paraId="70AB579A">
      <w:pPr>
        <w:pStyle w:val="1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53DC6DB">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1、对节能、环境标志产品计算价格扣除时，只依据电子投标文件“投标（响应）报价明细表”以及“优先类节能产品、环境标志产品证明材料（价格扣除适用，若有）”。</w:t>
      </w:r>
    </w:p>
    <w:p w14:paraId="0121BBD3">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2、本表以采购包为单位，不同采购包请分别填写；同一采购包请按照其品目号顺序分别填写。</w:t>
      </w:r>
    </w:p>
    <w:p w14:paraId="68A7B3BC">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3、具体统计、计算：</w:t>
      </w:r>
    </w:p>
    <w:p w14:paraId="4E837332">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3.1同一品目中各认证证书不重复计算价格扣除。</w:t>
      </w:r>
    </w:p>
    <w:p w14:paraId="23919F33">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3.2计算结果若除不尽，可四舍五入保留到小数点后两位。</w:t>
      </w:r>
    </w:p>
    <w:p w14:paraId="7B703A3F">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3.3投标人(供应商)按照采购文件要求认真统计、计算。</w:t>
      </w:r>
    </w:p>
    <w:p w14:paraId="438AB422">
      <w:pPr>
        <w:pStyle w:val="16"/>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3.4若无节能、环境标志产品，不填写本表。</w:t>
      </w:r>
    </w:p>
    <w:p w14:paraId="7520E282">
      <w:pPr>
        <w:pStyle w:val="16"/>
        <w:ind w:firstLine="480"/>
        <w:jc w:val="left"/>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rPr>
        <w:t>3.5强制类节能产品不享受价格扣除。</w:t>
      </w:r>
    </w:p>
    <w:p w14:paraId="421D2B83">
      <w:pPr>
        <w:pStyle w:val="16"/>
        <w:ind w:firstLine="480"/>
        <w:jc w:val="right"/>
        <w:rPr>
          <w:rFonts w:ascii="宋体" w:hAnsi="宋体" w:eastAsia="宋体" w:cs="宋体"/>
          <w:color w:val="auto"/>
          <w:sz w:val="24"/>
          <w:szCs w:val="24"/>
          <w:highlight w:val="none"/>
        </w:rPr>
      </w:pPr>
    </w:p>
    <w:p w14:paraId="34063132">
      <w:pPr>
        <w:pStyle w:val="16"/>
        <w:ind w:firstLine="480"/>
        <w:jc w:val="right"/>
        <w:rPr>
          <w:rFonts w:ascii="宋体" w:hAnsi="宋体" w:eastAsia="宋体" w:cs="宋体"/>
          <w:color w:val="auto"/>
          <w:sz w:val="24"/>
          <w:szCs w:val="24"/>
          <w:highlight w:val="none"/>
        </w:rPr>
      </w:pPr>
    </w:p>
    <w:p w14:paraId="21865D71">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3FA5CFD1">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015ACC1D">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67D0A324">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三-1-②优先类节能产品、环境标志产品证明材料（价格扣除适用，若有）</w:t>
      </w:r>
    </w:p>
    <w:p w14:paraId="1D3738D5">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三-2小型、微型企业产品等价格扣除证明材料（若有）</w:t>
      </w:r>
    </w:p>
    <w:p w14:paraId="2941DE35">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三-2-①中小企业声明函（价格扣除适用，若有）</w:t>
      </w:r>
    </w:p>
    <w:p w14:paraId="4A9DF382">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中小企业声明函（货物）</w:t>
      </w:r>
    </w:p>
    <w:p w14:paraId="2AF71CE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本公司（联合体）郑重声明，根据《政府采购促进中小企业发展管理办法》（财库﹝2020﹞46 号）的规定，本公司（联合体）参加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066B8C9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 xml:space="preserve"> （标的名称） </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w:t>
      </w:r>
      <w:r>
        <w:rPr>
          <w:rFonts w:ascii="宋体" w:hAnsi="宋体" w:eastAsia="宋体" w:cs="宋体"/>
          <w:color w:val="auto"/>
          <w:sz w:val="24"/>
          <w:szCs w:val="24"/>
          <w:highlight w:val="none"/>
          <w:vertAlign w:val="superscript"/>
        </w:rPr>
        <w:t>1</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11BB842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u w:val="single"/>
        </w:rPr>
        <w:t xml:space="preserve"> （标的名称） </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4CE5907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3D14573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36F2FD04">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14:paraId="19BA508B">
      <w:pPr>
        <w:pStyle w:val="16"/>
        <w:ind w:firstLine="480"/>
        <w:jc w:val="right"/>
        <w:rPr>
          <w:rFonts w:hint="default" w:ascii="宋体" w:hAnsi="宋体" w:eastAsia="宋体" w:cs="宋体"/>
          <w:color w:val="auto"/>
          <w:sz w:val="24"/>
          <w:szCs w:val="24"/>
          <w:highlight w:val="none"/>
        </w:rPr>
      </w:pPr>
    </w:p>
    <w:p w14:paraId="64AABD9F">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2A129C31">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527D026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0C22869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14:paraId="5D672D2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823A1B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772047E">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25AB2265">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中小企业声明函（工程、服务）</w:t>
      </w:r>
    </w:p>
    <w:p w14:paraId="2F3C5991">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本公司（联合体）郑重声明，根据《政府采购促进中小企业发展管理办法》（财库﹝2020﹞46 号）的规定，本公司（联合体）参加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34EFE5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w:t>
      </w:r>
      <w:r>
        <w:rPr>
          <w:rFonts w:ascii="宋体" w:hAnsi="宋体" w:eastAsia="宋体" w:cs="宋体"/>
          <w:color w:val="auto"/>
          <w:sz w:val="24"/>
          <w:szCs w:val="24"/>
          <w:highlight w:val="none"/>
          <w:vertAlign w:val="superscript"/>
        </w:rPr>
        <w:t>1</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5459B07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万元，属于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2502B43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14:paraId="6F357F6B">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272180F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14:paraId="0B31D53D">
      <w:pPr>
        <w:pStyle w:val="16"/>
        <w:ind w:firstLine="480"/>
        <w:jc w:val="right"/>
        <w:rPr>
          <w:rFonts w:hint="default" w:ascii="宋体" w:hAnsi="宋体" w:eastAsia="宋体" w:cs="宋体"/>
          <w:color w:val="auto"/>
          <w:sz w:val="24"/>
          <w:szCs w:val="24"/>
          <w:highlight w:val="none"/>
        </w:rPr>
      </w:pPr>
    </w:p>
    <w:p w14:paraId="2C95D395">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237F974A">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7EF190E1">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0B9803E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14:paraId="66DCCEA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BEF15C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D4FFD0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67BC0BC0">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三-2-②小型、微型企业等证明材料（价格扣除适用，若有）</w:t>
      </w:r>
    </w:p>
    <w:p w14:paraId="17D53E68">
      <w:pPr>
        <w:pStyle w:val="16"/>
        <w:ind w:firstLine="480"/>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14:paraId="1F04B07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1、投标人为监狱企业的，根据其提供的由省级以上监狱管理局、戒毒管理局（含新疆生产建设兵团）出具的属于监狱企业的证明文件进行认定，监狱企业视同小型、微型企业。</w:t>
      </w:r>
    </w:p>
    <w:p w14:paraId="56209E0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2B36545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w:t>
      </w:r>
    </w:p>
    <w:p w14:paraId="5997710E">
      <w:pPr>
        <w:pStyle w:val="16"/>
        <w:jc w:val="center"/>
        <w:outlineLvl w:val="3"/>
        <w:rPr>
          <w:rFonts w:hint="default" w:ascii="宋体" w:hAnsi="宋体" w:eastAsia="宋体" w:cs="宋体"/>
          <w:b/>
          <w:color w:val="auto"/>
          <w:sz w:val="24"/>
          <w:szCs w:val="24"/>
          <w:highlight w:val="none"/>
        </w:rPr>
      </w:pPr>
    </w:p>
    <w:p w14:paraId="79FE0887">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残疾人福利性单位声明函（价格扣除适用，若有）</w:t>
      </w:r>
    </w:p>
    <w:p w14:paraId="54DA7EAD">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DC1B41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168910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）由本投标人承建的（填写“所投采购包、品目号”）工程</w:t>
      </w:r>
    </w:p>
    <w:p w14:paraId="04A1C4A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）由本投标人承接的（填写“所投采购包、品目号”）服务；</w:t>
      </w:r>
    </w:p>
    <w:p w14:paraId="31C41C7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本投标人对上述声明的真实性负责。如有虚假，将依法承担相应责任。</w:t>
      </w:r>
    </w:p>
    <w:p w14:paraId="44D024E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p w14:paraId="34A1DBE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1、请投标人按照实际情况编制填写本声明函，并在相应的（）中打“√”。</w:t>
      </w:r>
    </w:p>
    <w:p w14:paraId="4067ABA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2、若《残疾人福利性单位声明函》内容不真实，视为提供虚假材料。</w:t>
      </w:r>
    </w:p>
    <w:p w14:paraId="40934372">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69ED87E5">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7FF30BFF">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29A2C32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w:t>
      </w:r>
    </w:p>
    <w:p w14:paraId="19CC2ED4">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监狱企业证明材料</w:t>
      </w:r>
    </w:p>
    <w:p w14:paraId="38C99C87">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投标人为监狱企业，提供本单位制造的货物（承接的服务），并在电子投标文件中提供省级以上监狱管理局、戒毒管理局（含新疆生产建设兵团）出具的属于监狱企业的证明文件。</w:t>
      </w:r>
    </w:p>
    <w:p w14:paraId="1B803B3E">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7A5D9FB5">
      <w:pPr>
        <w:pStyle w:val="16"/>
        <w:jc w:val="center"/>
        <w:outlineLvl w:val="3"/>
        <w:rPr>
          <w:rFonts w:ascii="宋体" w:hAnsi="宋体" w:eastAsia="宋体" w:cs="宋体"/>
          <w:b/>
          <w:color w:val="auto"/>
          <w:sz w:val="24"/>
          <w:szCs w:val="24"/>
          <w:highlight w:val="none"/>
        </w:rPr>
        <w:sectPr>
          <w:pgSz w:w="11906" w:h="16838"/>
          <w:pgMar w:top="1440" w:right="1737" w:bottom="1440" w:left="1349" w:header="851" w:footer="992" w:gutter="0"/>
          <w:pgNumType w:fmt="decimal"/>
          <w:cols w:space="425" w:num="1"/>
          <w:docGrid w:type="lines" w:linePitch="312" w:charSpace="0"/>
        </w:sectPr>
      </w:pPr>
    </w:p>
    <w:p w14:paraId="201C04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宋体" w:hAnsi="宋体" w:eastAsia="宋体" w:cs="宋体"/>
          <w:b/>
          <w:bCs w:val="0"/>
          <w:color w:val="auto"/>
          <w:kern w:val="0"/>
          <w:sz w:val="24"/>
          <w:szCs w:val="24"/>
          <w:highlight w:val="none"/>
          <w:lang w:val="en-US" w:eastAsia="zh-Hans" w:bidi="ar-SA"/>
        </w:rPr>
      </w:pPr>
      <w:r>
        <w:rPr>
          <w:rFonts w:hint="eastAsia" w:ascii="宋体" w:hAnsi="宋体" w:eastAsia="宋体" w:cs="宋体"/>
          <w:b/>
          <w:bCs w:val="0"/>
          <w:color w:val="auto"/>
          <w:kern w:val="0"/>
          <w:sz w:val="24"/>
          <w:szCs w:val="24"/>
          <w:highlight w:val="none"/>
          <w:lang w:val="en-US" w:eastAsia="zh-Hans" w:bidi="ar-SA"/>
        </w:rPr>
        <w:t>三-3本国产品证明材料（若有）</w:t>
      </w:r>
    </w:p>
    <w:p w14:paraId="0207F6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宋体" w:hAnsi="宋体" w:eastAsia="宋体" w:cs="宋体"/>
          <w:b/>
          <w:bCs w:val="0"/>
          <w:color w:val="auto"/>
          <w:kern w:val="0"/>
          <w:sz w:val="24"/>
          <w:szCs w:val="24"/>
          <w:highlight w:val="none"/>
          <w:lang w:val="en-US" w:eastAsia="zh-Hans" w:bidi="ar-SA"/>
        </w:rPr>
      </w:pPr>
      <w:r>
        <w:rPr>
          <w:rFonts w:hint="eastAsia" w:ascii="宋体" w:hAnsi="宋体" w:eastAsia="宋体" w:cs="宋体"/>
          <w:b/>
          <w:bCs w:val="0"/>
          <w:color w:val="auto"/>
          <w:kern w:val="0"/>
          <w:sz w:val="24"/>
          <w:szCs w:val="24"/>
          <w:highlight w:val="none"/>
          <w:lang w:val="en-US" w:eastAsia="zh-Hans" w:bidi="ar-SA"/>
        </w:rPr>
        <w:t>三-3-①关于符合本国产品标准的声明函（价格扣除适用，若有）</w:t>
      </w:r>
    </w:p>
    <w:p w14:paraId="23927AB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本公司（单位）郑重声明，根据《国务院办公厅关于在政府采购中实施本国产品标准及相关政策的通知》（国办发〔2025〕34号）的规定，本公司（单位）提供的以下产品属于本国产品。具体情况如下：</w:t>
      </w:r>
    </w:p>
    <w:p w14:paraId="00C6DFF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产品名称1），生产厂为（厂名），厂址为（生产厂址）。（产品名称1）的中国境内生产的组件成本占比≥（规定比例）。（产品名称）的（关键组件）在中国境内生产。（产品名称）的（关键工序）在中国境内完成。</w:t>
      </w:r>
    </w:p>
    <w:p w14:paraId="1EC7EB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产品名称2），生产厂为（厂名），厂址为（生产厂址）。（产品名称2）的中国境内生产的组件成本占比≥（规定比例）。（产品名称2）的（关键组件）在中国境内生产。（产品名称2）的（关键工序）在中国境内完成。</w:t>
      </w:r>
    </w:p>
    <w:p w14:paraId="7E02086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w:t>
      </w:r>
    </w:p>
    <w:p w14:paraId="5B45F2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本公司（单位）对上述声明内容的真实性负责。如有虚假，愿承担相应法律责任。</w:t>
      </w:r>
    </w:p>
    <w:p w14:paraId="00B3EA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公司（单位）名称（盖章）：</w:t>
      </w:r>
    </w:p>
    <w:p w14:paraId="14F42D1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日期：　　年　　月　　日</w:t>
      </w:r>
    </w:p>
    <w:p w14:paraId="015264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jc w:val="left"/>
        <w:rPr>
          <w:rFonts w:hint="eastAsia" w:ascii="宋体" w:hAnsi="宋体" w:eastAsia="宋体" w:cs="宋体"/>
          <w:i w:val="0"/>
          <w:iCs w:val="0"/>
          <w:caps w:val="0"/>
          <w:color w:val="333333"/>
          <w:spacing w:val="0"/>
          <w:sz w:val="24"/>
          <w:szCs w:val="24"/>
          <w:shd w:val="clear" w:fill="FFFFFF"/>
        </w:rPr>
      </w:pPr>
    </w:p>
    <w:p w14:paraId="66AADA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firstLine="480" w:firstLineChars="20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1.产品如有型号，请在"产品名称"栏一并填写。</w:t>
      </w:r>
    </w:p>
    <w:p w14:paraId="7B95487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2.生产厂名与厂址应与生产厂营业执照载明的相关信息保持一致。</w:t>
      </w:r>
    </w:p>
    <w:p w14:paraId="375BF89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3.该产品的中国境内生产的组件成本占比相关要求实施前，"规定比例"栏可不填，下同。</w:t>
      </w:r>
    </w:p>
    <w:p w14:paraId="15EC5D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4.该产品的关键组件要求实施前，"关键组件"栏可不填，下同。</w:t>
      </w:r>
    </w:p>
    <w:p w14:paraId="5400A65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5.该产品的关键工序要求实施前，"关键工序"栏可不填，下同。</w:t>
      </w:r>
    </w:p>
    <w:p w14:paraId="7760857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 </w:t>
      </w:r>
    </w:p>
    <w:p w14:paraId="701335A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p>
    <w:p w14:paraId="45B9E03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p>
    <w:p w14:paraId="19E98FC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p>
    <w:p w14:paraId="55273F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p>
    <w:p w14:paraId="08B2D26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p>
    <w:p w14:paraId="54C33B5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shd w:val="clear" w:fill="FFFFFF"/>
        </w:rPr>
      </w:pPr>
    </w:p>
    <w:p w14:paraId="37FA2C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宋体" w:hAnsi="宋体" w:eastAsia="宋体" w:cs="宋体"/>
          <w:b/>
          <w:bCs/>
          <w:i w:val="0"/>
          <w:iCs w:val="0"/>
          <w:caps w:val="0"/>
          <w:color w:val="auto"/>
          <w:spacing w:val="0"/>
          <w:sz w:val="24"/>
          <w:szCs w:val="24"/>
        </w:rPr>
      </w:pPr>
      <w:r>
        <w:rPr>
          <w:rFonts w:hint="eastAsia" w:ascii="宋体" w:hAnsi="宋体" w:eastAsia="宋体" w:cs="宋体"/>
          <w:b/>
          <w:bCs w:val="0"/>
          <w:color w:val="auto"/>
          <w:kern w:val="0"/>
          <w:sz w:val="24"/>
          <w:szCs w:val="24"/>
          <w:highlight w:val="none"/>
          <w:lang w:val="en-US" w:eastAsia="zh-Hans" w:bidi="ar-SA"/>
        </w:rPr>
        <w:t>三-3-②《本国产品成本占比说明》（价格扣除适用，若有）</w:t>
      </w:r>
    </w:p>
    <w:p w14:paraId="6F379D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auto"/>
          <w:spacing w:val="0"/>
          <w:sz w:val="24"/>
          <w:szCs w:val="24"/>
          <w:shd w:val="clear" w:fill="FFFFFF"/>
        </w:rPr>
        <w:t>本公司（单位）郑重承诺并声明：根据《国务院办公厅关于在政府采购中实施本国产品标准及相关政策的通知》（国办发〔2025〕34 号）规定，本公司（单位）所</w:t>
      </w:r>
      <w:r>
        <w:rPr>
          <w:rFonts w:hint="eastAsia" w:ascii="宋体" w:hAnsi="宋体" w:eastAsia="宋体" w:cs="宋体"/>
          <w:i w:val="0"/>
          <w:iCs w:val="0"/>
          <w:caps w:val="0"/>
          <w:color w:val="333333"/>
          <w:spacing w:val="0"/>
          <w:sz w:val="24"/>
          <w:szCs w:val="24"/>
          <w:shd w:val="clear" w:fill="FFFFFF"/>
        </w:rPr>
        <w:t>提供的以下产品，完全符合本国产品认定标准，属于本国产品：</w:t>
      </w:r>
    </w:p>
    <w:tbl>
      <w:tblPr>
        <w:tblStyle w:val="1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72"/>
        <w:gridCol w:w="4476"/>
        <w:gridCol w:w="1668"/>
        <w:gridCol w:w="1740"/>
      </w:tblGrid>
      <w:tr w14:paraId="580F8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Header/>
        </w:trPr>
        <w:tc>
          <w:tcPr>
            <w:tcW w:w="647"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07D7026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序号</w:t>
            </w:r>
          </w:p>
        </w:tc>
        <w:tc>
          <w:tcPr>
            <w:tcW w:w="2471"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578A71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主要产品/技术名称（规格型号）</w:t>
            </w:r>
          </w:p>
        </w:tc>
        <w:tc>
          <w:tcPr>
            <w:tcW w:w="920"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71B9F01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本国产品</w:t>
            </w:r>
          </w:p>
        </w:tc>
        <w:tc>
          <w:tcPr>
            <w:tcW w:w="960"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6F22DC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响应的产品是否为本国产品</w:t>
            </w:r>
          </w:p>
        </w:tc>
      </w:tr>
      <w:tr w14:paraId="6665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47"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3349A025">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1</w:t>
            </w:r>
          </w:p>
        </w:tc>
        <w:tc>
          <w:tcPr>
            <w:tcW w:w="247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63726563">
            <w:pPr>
              <w:jc w:val="center"/>
              <w:rPr>
                <w:rFonts w:hint="eastAsia" w:ascii="宋体" w:hAnsi="宋体" w:eastAsia="宋体" w:cs="宋体"/>
                <w:i w:val="0"/>
                <w:iCs w:val="0"/>
                <w:caps w:val="0"/>
                <w:color w:val="333333"/>
                <w:spacing w:val="0"/>
                <w:sz w:val="24"/>
                <w:szCs w:val="24"/>
              </w:rPr>
            </w:pPr>
          </w:p>
        </w:tc>
        <w:tc>
          <w:tcPr>
            <w:tcW w:w="92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19E1FE48">
            <w:pPr>
              <w:jc w:val="center"/>
              <w:rPr>
                <w:rFonts w:hint="eastAsia" w:ascii="宋体" w:hAnsi="宋体" w:eastAsia="宋体" w:cs="宋体"/>
                <w:i w:val="0"/>
                <w:iCs w:val="0"/>
                <w:caps w:val="0"/>
                <w:color w:val="333333"/>
                <w:spacing w:val="0"/>
                <w:sz w:val="24"/>
                <w:szCs w:val="24"/>
              </w:rPr>
            </w:pPr>
          </w:p>
        </w:tc>
        <w:tc>
          <w:tcPr>
            <w:tcW w:w="96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4E1C09A">
            <w:pPr>
              <w:jc w:val="center"/>
              <w:rPr>
                <w:rFonts w:hint="eastAsia" w:ascii="宋体" w:hAnsi="宋体" w:eastAsia="宋体" w:cs="宋体"/>
                <w:i w:val="0"/>
                <w:iCs w:val="0"/>
                <w:caps w:val="0"/>
                <w:color w:val="333333"/>
                <w:spacing w:val="0"/>
                <w:sz w:val="24"/>
                <w:szCs w:val="24"/>
              </w:rPr>
            </w:pPr>
          </w:p>
        </w:tc>
      </w:tr>
      <w:tr w14:paraId="39684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47"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28A65A4E">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2</w:t>
            </w:r>
          </w:p>
        </w:tc>
        <w:tc>
          <w:tcPr>
            <w:tcW w:w="247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65CB31FB">
            <w:pPr>
              <w:jc w:val="center"/>
              <w:rPr>
                <w:rFonts w:hint="eastAsia" w:ascii="宋体" w:hAnsi="宋体" w:eastAsia="宋体" w:cs="宋体"/>
                <w:i w:val="0"/>
                <w:iCs w:val="0"/>
                <w:caps w:val="0"/>
                <w:color w:val="333333"/>
                <w:spacing w:val="0"/>
                <w:sz w:val="24"/>
                <w:szCs w:val="24"/>
              </w:rPr>
            </w:pPr>
          </w:p>
        </w:tc>
        <w:tc>
          <w:tcPr>
            <w:tcW w:w="92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57FAC47">
            <w:pPr>
              <w:jc w:val="center"/>
              <w:rPr>
                <w:rFonts w:hint="eastAsia" w:ascii="宋体" w:hAnsi="宋体" w:eastAsia="宋体" w:cs="宋体"/>
                <w:i w:val="0"/>
                <w:iCs w:val="0"/>
                <w:caps w:val="0"/>
                <w:color w:val="333333"/>
                <w:spacing w:val="0"/>
                <w:sz w:val="24"/>
                <w:szCs w:val="24"/>
              </w:rPr>
            </w:pPr>
          </w:p>
        </w:tc>
        <w:tc>
          <w:tcPr>
            <w:tcW w:w="96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48C25A52">
            <w:pPr>
              <w:jc w:val="center"/>
              <w:rPr>
                <w:rFonts w:hint="eastAsia" w:ascii="宋体" w:hAnsi="宋体" w:eastAsia="宋体" w:cs="宋体"/>
                <w:i w:val="0"/>
                <w:iCs w:val="0"/>
                <w:caps w:val="0"/>
                <w:color w:val="333333"/>
                <w:spacing w:val="0"/>
                <w:sz w:val="24"/>
                <w:szCs w:val="24"/>
              </w:rPr>
            </w:pPr>
          </w:p>
        </w:tc>
      </w:tr>
      <w:tr w14:paraId="38DA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647"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B895AA6">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3</w:t>
            </w:r>
          </w:p>
        </w:tc>
        <w:tc>
          <w:tcPr>
            <w:tcW w:w="247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1DC922F">
            <w:pPr>
              <w:jc w:val="center"/>
              <w:rPr>
                <w:rFonts w:hint="eastAsia" w:ascii="宋体" w:hAnsi="宋体" w:eastAsia="宋体" w:cs="宋体"/>
                <w:i w:val="0"/>
                <w:iCs w:val="0"/>
                <w:caps w:val="0"/>
                <w:color w:val="333333"/>
                <w:spacing w:val="0"/>
                <w:sz w:val="24"/>
                <w:szCs w:val="24"/>
              </w:rPr>
            </w:pPr>
          </w:p>
        </w:tc>
        <w:tc>
          <w:tcPr>
            <w:tcW w:w="92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31C9CA23">
            <w:pPr>
              <w:jc w:val="center"/>
              <w:rPr>
                <w:rFonts w:hint="eastAsia" w:ascii="宋体" w:hAnsi="宋体" w:eastAsia="宋体" w:cs="宋体"/>
                <w:i w:val="0"/>
                <w:iCs w:val="0"/>
                <w:caps w:val="0"/>
                <w:color w:val="333333"/>
                <w:spacing w:val="0"/>
                <w:sz w:val="24"/>
                <w:szCs w:val="24"/>
              </w:rPr>
            </w:pPr>
          </w:p>
        </w:tc>
        <w:tc>
          <w:tcPr>
            <w:tcW w:w="96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7D20BEC5">
            <w:pPr>
              <w:jc w:val="center"/>
              <w:rPr>
                <w:rFonts w:hint="eastAsia" w:ascii="宋体" w:hAnsi="宋体" w:eastAsia="宋体" w:cs="宋体"/>
                <w:i w:val="0"/>
                <w:iCs w:val="0"/>
                <w:caps w:val="0"/>
                <w:color w:val="333333"/>
                <w:spacing w:val="0"/>
                <w:sz w:val="24"/>
                <w:szCs w:val="24"/>
              </w:rPr>
            </w:pPr>
          </w:p>
        </w:tc>
      </w:tr>
      <w:tr w14:paraId="1B5C3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39" w:type="pct"/>
            <w:gridSpan w:val="3"/>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D045772">
            <w:pPr>
              <w:keepNext w:val="0"/>
              <w:keepLines w:val="0"/>
              <w:widowControl/>
              <w:suppressLineNumbers w:val="0"/>
              <w:wordWrap w:val="0"/>
              <w:spacing w:before="0" w:beforeAutospacing="0" w:after="0" w:afterAutospacing="0" w:line="480"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供应商为该采购项目或者采购包提供的符合本国产品标准的产品成本之和占该供应商提供的全部产品成本之和的比例是否达到80%</w:t>
            </w:r>
          </w:p>
        </w:tc>
        <w:tc>
          <w:tcPr>
            <w:tcW w:w="960"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2022A55A">
            <w:pPr>
              <w:jc w:val="center"/>
              <w:rPr>
                <w:rFonts w:hint="eastAsia" w:ascii="宋体" w:hAnsi="宋体" w:eastAsia="宋体" w:cs="宋体"/>
                <w:i w:val="0"/>
                <w:iCs w:val="0"/>
                <w:caps w:val="0"/>
                <w:color w:val="333333"/>
                <w:spacing w:val="0"/>
                <w:sz w:val="24"/>
                <w:szCs w:val="24"/>
              </w:rPr>
            </w:pPr>
          </w:p>
        </w:tc>
      </w:tr>
    </w:tbl>
    <w:p w14:paraId="1769E11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本公司（单位）对上述承诺承担全部法律责任，若存在虚假承诺或与实际不符情形，自愿接受政府采购相关法律法规及监管规定处理，并承担由此产生的一切法律后果与经济责任。</w:t>
      </w:r>
    </w:p>
    <w:p w14:paraId="0DA9E8B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供应商名称（盖章）：</w:t>
      </w:r>
      <w:r>
        <w:rPr>
          <w:rFonts w:hint="eastAsia" w:ascii="宋体" w:hAnsi="宋体" w:eastAsia="宋体" w:cs="宋体"/>
          <w:i w:val="0"/>
          <w:iCs w:val="0"/>
          <w:caps w:val="0"/>
          <w:color w:val="333333"/>
          <w:spacing w:val="0"/>
          <w:sz w:val="24"/>
          <w:szCs w:val="24"/>
          <w:u w:val="single"/>
          <w:shd w:val="clear" w:fill="FFFFFF"/>
        </w:rPr>
        <w:t xml:space="preserve">                    </w:t>
      </w:r>
    </w:p>
    <w:p w14:paraId="20A9DAB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日期：　　年　　月　　日</w:t>
      </w:r>
    </w:p>
    <w:p w14:paraId="0CDABFE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Style w:val="14"/>
          <w:rFonts w:hint="eastAsia" w:ascii="宋体" w:hAnsi="宋体" w:eastAsia="宋体" w:cs="宋体"/>
          <w:i w:val="0"/>
          <w:iCs w:val="0"/>
          <w:caps w:val="0"/>
          <w:color w:val="333333"/>
          <w:spacing w:val="0"/>
          <w:sz w:val="24"/>
          <w:szCs w:val="24"/>
          <w:shd w:val="clear" w:fill="FFFFFF"/>
        </w:rPr>
      </w:pPr>
    </w:p>
    <w:p w14:paraId="24E749F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sz w:val="24"/>
          <w:szCs w:val="24"/>
        </w:rPr>
      </w:pPr>
      <w:r>
        <w:rPr>
          <w:rStyle w:val="14"/>
          <w:rFonts w:hint="eastAsia" w:ascii="宋体" w:hAnsi="宋体" w:eastAsia="宋体" w:cs="宋体"/>
          <w:i w:val="0"/>
          <w:iCs w:val="0"/>
          <w:caps w:val="0"/>
          <w:color w:val="333333"/>
          <w:spacing w:val="0"/>
          <w:sz w:val="24"/>
          <w:szCs w:val="24"/>
          <w:shd w:val="clear" w:fill="FFFFFF"/>
        </w:rPr>
        <w:t>注：</w:t>
      </w:r>
    </w:p>
    <w:p w14:paraId="0B34DAC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4946A5D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sz w:val="24"/>
          <w:szCs w:val="24"/>
        </w:rPr>
      </w:pPr>
      <w:r>
        <w:rPr>
          <w:rFonts w:hint="eastAsia" w:ascii="宋体" w:hAnsi="宋体" w:eastAsia="宋体" w:cs="宋体"/>
          <w:i w:val="0"/>
          <w:iCs w:val="0"/>
          <w:caps w:val="0"/>
          <w:color w:val="333333"/>
          <w:spacing w:val="0"/>
          <w:sz w:val="24"/>
          <w:szCs w:val="24"/>
          <w:shd w:val="clear" w:fill="FFFFFF"/>
        </w:rPr>
        <w:t>2. 供应商须同时出具《关于符合本国产品标准的声明函》（样式见下附件2）或财政部会同有关部门规定的有关证明文件。出具符合要求的《声明函》或有关证明文件的，该产品视为本国产品。</w:t>
      </w:r>
    </w:p>
    <w:p w14:paraId="755C8CEE">
      <w:pPr>
        <w:pStyle w:val="16"/>
        <w:jc w:val="center"/>
        <w:outlineLvl w:val="3"/>
        <w:rPr>
          <w:rFonts w:ascii="宋体" w:hAnsi="宋体" w:eastAsia="宋体" w:cs="宋体"/>
          <w:b/>
          <w:color w:val="auto"/>
          <w:sz w:val="24"/>
          <w:szCs w:val="24"/>
          <w:highlight w:val="none"/>
        </w:rPr>
        <w:sectPr>
          <w:pgSz w:w="11906" w:h="16838"/>
          <w:pgMar w:top="1440" w:right="1737" w:bottom="1440" w:left="1349" w:header="851" w:footer="992" w:gutter="0"/>
          <w:pgNumType w:fmt="decimal"/>
          <w:cols w:space="425" w:num="1"/>
          <w:docGrid w:type="lines" w:linePitch="312" w:charSpace="0"/>
        </w:sectPr>
      </w:pPr>
    </w:p>
    <w:p w14:paraId="5CA0B19B">
      <w:pPr>
        <w:pStyle w:val="16"/>
        <w:jc w:val="center"/>
        <w:outlineLvl w:val="3"/>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w:t>
      </w:r>
      <w:r>
        <w:rPr>
          <w:rFonts w:hint="eastAsia" w:ascii="宋体" w:hAnsi="宋体" w:eastAsia="宋体" w:cs="宋体"/>
          <w:b/>
          <w:color w:val="auto"/>
          <w:sz w:val="24"/>
          <w:szCs w:val="24"/>
          <w:highlight w:val="none"/>
          <w:lang w:val="en-US" w:eastAsia="zh-CN"/>
        </w:rPr>
        <w:t>4</w:t>
      </w:r>
      <w:r>
        <w:rPr>
          <w:rFonts w:ascii="宋体" w:hAnsi="宋体" w:eastAsia="宋体" w:cs="宋体"/>
          <w:b/>
          <w:color w:val="auto"/>
          <w:sz w:val="24"/>
          <w:szCs w:val="24"/>
          <w:highlight w:val="none"/>
        </w:rPr>
        <w:t>招标文件规定的其他价格扣除证明材料（若有）</w:t>
      </w:r>
    </w:p>
    <w:p w14:paraId="17CC3BCF">
      <w:pPr>
        <w:pStyle w:val="16"/>
        <w:ind w:firstLine="480"/>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14:paraId="7440D63D">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若投标人可享受招标文件规定的除“节能（非强制类）、环境标志产品价格扣除”及“小型、微型企业产品等价格扣除”外的其他价格扣除优惠，则投标人应按照招标文件要求提供相应证明材料。</w:t>
      </w:r>
    </w:p>
    <w:p w14:paraId="1AEDF92E">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bookmarkStart w:id="11" w:name="_GoBack"/>
      <w:bookmarkEnd w:id="11"/>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75FEF5E0">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封面格式(技术商务部分)</w:t>
      </w:r>
    </w:p>
    <w:p w14:paraId="3C4FCF7D">
      <w:pPr>
        <w:pStyle w:val="16"/>
        <w:jc w:val="center"/>
        <w:outlineLvl w:val="0"/>
        <w:rPr>
          <w:rFonts w:hint="default" w:ascii="宋体" w:hAnsi="宋体" w:eastAsia="宋体" w:cs="宋体"/>
          <w:color w:val="auto"/>
          <w:sz w:val="52"/>
          <w:szCs w:val="52"/>
          <w:highlight w:val="none"/>
        </w:rPr>
      </w:pPr>
      <w:r>
        <w:rPr>
          <w:rFonts w:ascii="宋体" w:hAnsi="宋体" w:eastAsia="宋体" w:cs="宋体"/>
          <w:b/>
          <w:color w:val="auto"/>
          <w:sz w:val="52"/>
          <w:szCs w:val="52"/>
          <w:highlight w:val="none"/>
        </w:rPr>
        <w:t>福建省政府采购投标文件</w:t>
      </w:r>
    </w:p>
    <w:p w14:paraId="022CF780">
      <w:pPr>
        <w:pStyle w:val="16"/>
        <w:jc w:val="center"/>
        <w:outlineLvl w:val="0"/>
        <w:rPr>
          <w:rFonts w:hint="default" w:ascii="宋体" w:hAnsi="宋体" w:eastAsia="宋体" w:cs="宋体"/>
          <w:color w:val="auto"/>
          <w:sz w:val="28"/>
          <w:szCs w:val="28"/>
          <w:highlight w:val="none"/>
        </w:rPr>
      </w:pPr>
      <w:r>
        <w:rPr>
          <w:rFonts w:ascii="宋体" w:hAnsi="宋体" w:eastAsia="宋体" w:cs="宋体"/>
          <w:b/>
          <w:color w:val="auto"/>
          <w:sz w:val="52"/>
          <w:szCs w:val="52"/>
          <w:highlight w:val="none"/>
        </w:rPr>
        <w:t>（技术商务部分）</w:t>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p>
    <w:p w14:paraId="43B41E03">
      <w:pPr>
        <w:pStyle w:val="16"/>
        <w:jc w:val="center"/>
        <w:outlineLvl w:val="1"/>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（填写正本或副本）</w:t>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r>
        <w:rPr>
          <w:rFonts w:ascii="宋体" w:hAnsi="宋体" w:eastAsia="宋体" w:cs="宋体"/>
          <w:color w:val="auto"/>
          <w:sz w:val="28"/>
          <w:szCs w:val="28"/>
          <w:highlight w:val="none"/>
        </w:rPr>
        <w:br w:type="textWrapping"/>
      </w:r>
    </w:p>
    <w:p w14:paraId="655DE844">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项目名称：（由投标人填写）</w:t>
      </w:r>
    </w:p>
    <w:p w14:paraId="32DE1B87">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备案编号：（由投标人填写）</w:t>
      </w:r>
    </w:p>
    <w:p w14:paraId="42DEDDC7">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项目编号：（由投标人填写）</w:t>
      </w:r>
    </w:p>
    <w:p w14:paraId="56073231">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所投采购包：（由投标人填写）</w:t>
      </w:r>
    </w:p>
    <w:p w14:paraId="3B8D3614">
      <w:pPr>
        <w:pStyle w:val="16"/>
        <w:jc w:val="center"/>
        <w:outlineLvl w:val="2"/>
        <w:rPr>
          <w:rFonts w:hint="default" w:ascii="宋体" w:hAnsi="宋体" w:eastAsia="宋体" w:cs="宋体"/>
          <w:b/>
          <w:color w:val="auto"/>
          <w:sz w:val="28"/>
          <w:szCs w:val="28"/>
          <w:highlight w:val="none"/>
        </w:rPr>
      </w:pPr>
    </w:p>
    <w:p w14:paraId="761D5C21">
      <w:pPr>
        <w:pStyle w:val="16"/>
        <w:jc w:val="center"/>
        <w:outlineLvl w:val="2"/>
        <w:rPr>
          <w:rFonts w:hint="default" w:ascii="宋体" w:hAnsi="宋体" w:eastAsia="宋体" w:cs="宋体"/>
          <w:b/>
          <w:color w:val="auto"/>
          <w:sz w:val="28"/>
          <w:szCs w:val="28"/>
          <w:highlight w:val="none"/>
        </w:rPr>
      </w:pPr>
    </w:p>
    <w:p w14:paraId="192EB85B">
      <w:pPr>
        <w:pStyle w:val="16"/>
        <w:jc w:val="center"/>
        <w:outlineLvl w:val="2"/>
        <w:rPr>
          <w:rFonts w:hint="default" w:ascii="宋体" w:hAnsi="宋体" w:eastAsia="宋体" w:cs="宋体"/>
          <w:b/>
          <w:color w:val="auto"/>
          <w:sz w:val="28"/>
          <w:szCs w:val="28"/>
          <w:highlight w:val="none"/>
        </w:rPr>
      </w:pPr>
    </w:p>
    <w:p w14:paraId="30A2DE77">
      <w:pPr>
        <w:pStyle w:val="16"/>
        <w:jc w:val="center"/>
        <w:outlineLvl w:val="2"/>
        <w:rPr>
          <w:rFonts w:hint="default" w:ascii="宋体" w:hAnsi="宋体" w:eastAsia="宋体" w:cs="宋体"/>
          <w:b/>
          <w:color w:val="auto"/>
          <w:sz w:val="28"/>
          <w:szCs w:val="28"/>
          <w:highlight w:val="none"/>
        </w:rPr>
      </w:pPr>
    </w:p>
    <w:p w14:paraId="081BB37C">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投标人：（填写“全称”）</w:t>
      </w:r>
    </w:p>
    <w:p w14:paraId="7F763F0A">
      <w:pPr>
        <w:pStyle w:val="16"/>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（由投标人填写）年（由投标人填写）月</w:t>
      </w:r>
    </w:p>
    <w:p w14:paraId="0BB027B6">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BEC592B">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索引</w:t>
      </w:r>
    </w:p>
    <w:p w14:paraId="38695345">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一、标的说明一览表</w:t>
      </w:r>
    </w:p>
    <w:p w14:paraId="00F34A34">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二、技术和服务要求响应表</w:t>
      </w:r>
    </w:p>
    <w:p w14:paraId="7A887091">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三、商务条件响应表</w:t>
      </w:r>
    </w:p>
    <w:p w14:paraId="78D619E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四、投标人提交的其他资料（若有）</w:t>
      </w:r>
    </w:p>
    <w:p w14:paraId="302F978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345D8FC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技术商务部分中不得出现报价部分的全部或部分的投标报价信息（或组成资料），否则符合性审查不合格。</w:t>
      </w:r>
    </w:p>
    <w:p w14:paraId="1D1DA54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1FD9566D">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一、标的说明一览表</w:t>
      </w:r>
    </w:p>
    <w:p w14:paraId="46DF54A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1"/>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187"/>
        <w:gridCol w:w="1187"/>
        <w:gridCol w:w="1187"/>
        <w:gridCol w:w="1187"/>
        <w:gridCol w:w="1270"/>
        <w:gridCol w:w="1775"/>
      </w:tblGrid>
      <w:tr w14:paraId="2D4E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Pr>
          <w:p w14:paraId="358379EA">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187" w:type="dxa"/>
          </w:tcPr>
          <w:p w14:paraId="6F6F9A7E">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1187" w:type="dxa"/>
          </w:tcPr>
          <w:p w14:paraId="3E22175B">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投标标的</w:t>
            </w:r>
          </w:p>
        </w:tc>
        <w:tc>
          <w:tcPr>
            <w:tcW w:w="1187" w:type="dxa"/>
          </w:tcPr>
          <w:p w14:paraId="28034458">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数量</w:t>
            </w:r>
          </w:p>
        </w:tc>
        <w:tc>
          <w:tcPr>
            <w:tcW w:w="1187" w:type="dxa"/>
          </w:tcPr>
          <w:p w14:paraId="4FFA2A94">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规格</w:t>
            </w:r>
          </w:p>
        </w:tc>
        <w:tc>
          <w:tcPr>
            <w:tcW w:w="1270" w:type="dxa"/>
          </w:tcPr>
          <w:p w14:paraId="2CA64D44">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来源地</w:t>
            </w:r>
          </w:p>
        </w:tc>
        <w:tc>
          <w:tcPr>
            <w:tcW w:w="1775" w:type="dxa"/>
          </w:tcPr>
          <w:p w14:paraId="4509F7C8">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r>
      <w:tr w14:paraId="1835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vMerge w:val="restart"/>
          </w:tcPr>
          <w:p w14:paraId="1BB66D29">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187" w:type="dxa"/>
          </w:tcPr>
          <w:p w14:paraId="7F278BDC">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187" w:type="dxa"/>
          </w:tcPr>
          <w:p w14:paraId="0F2174C5">
            <w:pPr>
              <w:rPr>
                <w:rFonts w:ascii="宋体" w:hAnsi="宋体" w:eastAsia="宋体" w:cs="宋体"/>
                <w:color w:val="auto"/>
                <w:sz w:val="24"/>
                <w:highlight w:val="none"/>
              </w:rPr>
            </w:pPr>
          </w:p>
        </w:tc>
        <w:tc>
          <w:tcPr>
            <w:tcW w:w="1187" w:type="dxa"/>
          </w:tcPr>
          <w:p w14:paraId="25223CAA">
            <w:pPr>
              <w:rPr>
                <w:rFonts w:ascii="宋体" w:hAnsi="宋体" w:eastAsia="宋体" w:cs="宋体"/>
                <w:color w:val="auto"/>
                <w:sz w:val="24"/>
                <w:highlight w:val="none"/>
              </w:rPr>
            </w:pPr>
          </w:p>
        </w:tc>
        <w:tc>
          <w:tcPr>
            <w:tcW w:w="1187" w:type="dxa"/>
          </w:tcPr>
          <w:p w14:paraId="5553F081">
            <w:pPr>
              <w:rPr>
                <w:rFonts w:ascii="宋体" w:hAnsi="宋体" w:eastAsia="宋体" w:cs="宋体"/>
                <w:color w:val="auto"/>
                <w:sz w:val="24"/>
                <w:highlight w:val="none"/>
              </w:rPr>
            </w:pPr>
          </w:p>
        </w:tc>
        <w:tc>
          <w:tcPr>
            <w:tcW w:w="1270" w:type="dxa"/>
          </w:tcPr>
          <w:p w14:paraId="5C266342">
            <w:pPr>
              <w:rPr>
                <w:rFonts w:ascii="宋体" w:hAnsi="宋体" w:eastAsia="宋体" w:cs="宋体"/>
                <w:color w:val="auto"/>
                <w:sz w:val="24"/>
                <w:highlight w:val="none"/>
              </w:rPr>
            </w:pPr>
          </w:p>
        </w:tc>
        <w:tc>
          <w:tcPr>
            <w:tcW w:w="1775" w:type="dxa"/>
          </w:tcPr>
          <w:p w14:paraId="26BC95DB">
            <w:pPr>
              <w:rPr>
                <w:rFonts w:ascii="宋体" w:hAnsi="宋体" w:eastAsia="宋体" w:cs="宋体"/>
                <w:color w:val="auto"/>
                <w:sz w:val="24"/>
                <w:highlight w:val="none"/>
              </w:rPr>
            </w:pPr>
          </w:p>
        </w:tc>
      </w:tr>
      <w:tr w14:paraId="253A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vMerge w:val="continue"/>
          </w:tcPr>
          <w:p w14:paraId="358ED39E">
            <w:pPr>
              <w:rPr>
                <w:rFonts w:ascii="宋体" w:hAnsi="宋体" w:eastAsia="宋体" w:cs="宋体"/>
                <w:color w:val="auto"/>
                <w:sz w:val="24"/>
                <w:highlight w:val="none"/>
              </w:rPr>
            </w:pPr>
          </w:p>
        </w:tc>
        <w:tc>
          <w:tcPr>
            <w:tcW w:w="1187" w:type="dxa"/>
          </w:tcPr>
          <w:p w14:paraId="3E7421C5">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187" w:type="dxa"/>
          </w:tcPr>
          <w:p w14:paraId="67F34845">
            <w:pPr>
              <w:rPr>
                <w:rFonts w:ascii="宋体" w:hAnsi="宋体" w:eastAsia="宋体" w:cs="宋体"/>
                <w:color w:val="auto"/>
                <w:sz w:val="24"/>
                <w:highlight w:val="none"/>
              </w:rPr>
            </w:pPr>
          </w:p>
        </w:tc>
        <w:tc>
          <w:tcPr>
            <w:tcW w:w="1187" w:type="dxa"/>
          </w:tcPr>
          <w:p w14:paraId="740D6558">
            <w:pPr>
              <w:rPr>
                <w:rFonts w:ascii="宋体" w:hAnsi="宋体" w:eastAsia="宋体" w:cs="宋体"/>
                <w:color w:val="auto"/>
                <w:sz w:val="24"/>
                <w:highlight w:val="none"/>
              </w:rPr>
            </w:pPr>
          </w:p>
        </w:tc>
        <w:tc>
          <w:tcPr>
            <w:tcW w:w="1187" w:type="dxa"/>
          </w:tcPr>
          <w:p w14:paraId="5C83E401">
            <w:pPr>
              <w:rPr>
                <w:rFonts w:ascii="宋体" w:hAnsi="宋体" w:eastAsia="宋体" w:cs="宋体"/>
                <w:color w:val="auto"/>
                <w:sz w:val="24"/>
                <w:highlight w:val="none"/>
              </w:rPr>
            </w:pPr>
          </w:p>
        </w:tc>
        <w:tc>
          <w:tcPr>
            <w:tcW w:w="1270" w:type="dxa"/>
          </w:tcPr>
          <w:p w14:paraId="51FD22B8">
            <w:pPr>
              <w:rPr>
                <w:rFonts w:ascii="宋体" w:hAnsi="宋体" w:eastAsia="宋体" w:cs="宋体"/>
                <w:color w:val="auto"/>
                <w:sz w:val="24"/>
                <w:highlight w:val="none"/>
              </w:rPr>
            </w:pPr>
          </w:p>
        </w:tc>
        <w:tc>
          <w:tcPr>
            <w:tcW w:w="1775" w:type="dxa"/>
          </w:tcPr>
          <w:p w14:paraId="313A0338">
            <w:pPr>
              <w:rPr>
                <w:rFonts w:ascii="宋体" w:hAnsi="宋体" w:eastAsia="宋体" w:cs="宋体"/>
                <w:color w:val="auto"/>
                <w:sz w:val="24"/>
                <w:highlight w:val="none"/>
              </w:rPr>
            </w:pPr>
          </w:p>
        </w:tc>
      </w:tr>
      <w:tr w14:paraId="5CC6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Pr>
          <w:p w14:paraId="78374550">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187" w:type="dxa"/>
          </w:tcPr>
          <w:p w14:paraId="4661E948">
            <w:pPr>
              <w:rPr>
                <w:rFonts w:ascii="宋体" w:hAnsi="宋体" w:eastAsia="宋体" w:cs="宋体"/>
                <w:color w:val="auto"/>
                <w:sz w:val="24"/>
                <w:highlight w:val="none"/>
              </w:rPr>
            </w:pPr>
          </w:p>
        </w:tc>
        <w:tc>
          <w:tcPr>
            <w:tcW w:w="1187" w:type="dxa"/>
          </w:tcPr>
          <w:p w14:paraId="4C285B63">
            <w:pPr>
              <w:rPr>
                <w:rFonts w:ascii="宋体" w:hAnsi="宋体" w:eastAsia="宋体" w:cs="宋体"/>
                <w:color w:val="auto"/>
                <w:sz w:val="24"/>
                <w:highlight w:val="none"/>
              </w:rPr>
            </w:pPr>
          </w:p>
        </w:tc>
        <w:tc>
          <w:tcPr>
            <w:tcW w:w="1187" w:type="dxa"/>
          </w:tcPr>
          <w:p w14:paraId="2D6B731B">
            <w:pPr>
              <w:rPr>
                <w:rFonts w:ascii="宋体" w:hAnsi="宋体" w:eastAsia="宋体" w:cs="宋体"/>
                <w:color w:val="auto"/>
                <w:sz w:val="24"/>
                <w:highlight w:val="none"/>
              </w:rPr>
            </w:pPr>
          </w:p>
        </w:tc>
        <w:tc>
          <w:tcPr>
            <w:tcW w:w="1187" w:type="dxa"/>
          </w:tcPr>
          <w:p w14:paraId="41F52A6D">
            <w:pPr>
              <w:rPr>
                <w:rFonts w:ascii="宋体" w:hAnsi="宋体" w:eastAsia="宋体" w:cs="宋体"/>
                <w:color w:val="auto"/>
                <w:sz w:val="24"/>
                <w:highlight w:val="none"/>
              </w:rPr>
            </w:pPr>
          </w:p>
        </w:tc>
        <w:tc>
          <w:tcPr>
            <w:tcW w:w="1270" w:type="dxa"/>
          </w:tcPr>
          <w:p w14:paraId="3166AADD">
            <w:pPr>
              <w:rPr>
                <w:rFonts w:ascii="宋体" w:hAnsi="宋体" w:eastAsia="宋体" w:cs="宋体"/>
                <w:color w:val="auto"/>
                <w:sz w:val="24"/>
                <w:highlight w:val="none"/>
              </w:rPr>
            </w:pPr>
          </w:p>
        </w:tc>
        <w:tc>
          <w:tcPr>
            <w:tcW w:w="1775" w:type="dxa"/>
          </w:tcPr>
          <w:p w14:paraId="343C299A">
            <w:pPr>
              <w:rPr>
                <w:rFonts w:ascii="宋体" w:hAnsi="宋体" w:eastAsia="宋体" w:cs="宋体"/>
                <w:color w:val="auto"/>
                <w:sz w:val="24"/>
                <w:highlight w:val="none"/>
              </w:rPr>
            </w:pPr>
          </w:p>
        </w:tc>
      </w:tr>
    </w:tbl>
    <w:p w14:paraId="1A377E9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057A1DE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1、本表应按照下列规定填写：</w:t>
      </w:r>
    </w:p>
    <w:p w14:paraId="4358BEF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1.1“采购包”、“品目号”、“投标标的”及“数量”应与招标文件《采购标的一览表》中的有关内容（“采购包”、“品目号”、“采购标的”及“数量”）保持一致。</w:t>
      </w:r>
    </w:p>
    <w:p w14:paraId="679FD3EF">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606E56D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1.3“投标标的”为服务的：“规格”项下应填写服务提供者提供的服务标准及品牌（若有）。“来源地”应填写服务提供者的所在地。“备注”项下应填写关于服务标准所涵盖的具体项目或内容的说明等。</w:t>
      </w:r>
    </w:p>
    <w:p w14:paraId="540F33A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53FC185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3、电子投标文件中涉及“投标标的”、“数量”、“规格”、“来源地”的内容若不一致，以投标客户端的投标（响应）报价明细表为准。</w:t>
      </w:r>
    </w:p>
    <w:p w14:paraId="5F1445F1">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36EF64FB">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411BD440">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5767D14B">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二、技术和服务要求响应表</w:t>
      </w:r>
    </w:p>
    <w:p w14:paraId="55596CE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25"/>
        <w:gridCol w:w="1635"/>
        <w:gridCol w:w="2023"/>
        <w:gridCol w:w="1427"/>
        <w:gridCol w:w="2525"/>
      </w:tblGrid>
      <w:tr w14:paraId="0F8BB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tcPr>
          <w:p w14:paraId="5C694136">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635" w:type="dxa"/>
          </w:tcPr>
          <w:p w14:paraId="1D2AEB1F">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2023" w:type="dxa"/>
          </w:tcPr>
          <w:p w14:paraId="1206D073">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技术和服务要求</w:t>
            </w:r>
          </w:p>
        </w:tc>
        <w:tc>
          <w:tcPr>
            <w:tcW w:w="1427" w:type="dxa"/>
          </w:tcPr>
          <w:p w14:paraId="356594CA">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投标响应</w:t>
            </w:r>
          </w:p>
        </w:tc>
        <w:tc>
          <w:tcPr>
            <w:tcW w:w="2525" w:type="dxa"/>
          </w:tcPr>
          <w:p w14:paraId="3446C586">
            <w:pPr>
              <w:pStyle w:val="16"/>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14:paraId="4F4F6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vMerge w:val="restart"/>
          </w:tcPr>
          <w:p w14:paraId="3895FDB1">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35" w:type="dxa"/>
          </w:tcPr>
          <w:p w14:paraId="1AA45CFE">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023" w:type="dxa"/>
          </w:tcPr>
          <w:p w14:paraId="2E13F588">
            <w:pPr>
              <w:rPr>
                <w:rFonts w:ascii="宋体" w:hAnsi="宋体" w:eastAsia="宋体" w:cs="宋体"/>
                <w:color w:val="auto"/>
                <w:sz w:val="24"/>
                <w:highlight w:val="none"/>
              </w:rPr>
            </w:pPr>
          </w:p>
        </w:tc>
        <w:tc>
          <w:tcPr>
            <w:tcW w:w="1427" w:type="dxa"/>
          </w:tcPr>
          <w:p w14:paraId="62C02246">
            <w:pPr>
              <w:rPr>
                <w:rFonts w:ascii="宋体" w:hAnsi="宋体" w:eastAsia="宋体" w:cs="宋体"/>
                <w:color w:val="auto"/>
                <w:sz w:val="24"/>
                <w:highlight w:val="none"/>
              </w:rPr>
            </w:pPr>
          </w:p>
        </w:tc>
        <w:tc>
          <w:tcPr>
            <w:tcW w:w="2525" w:type="dxa"/>
          </w:tcPr>
          <w:p w14:paraId="611A5F9F">
            <w:pPr>
              <w:rPr>
                <w:rFonts w:ascii="宋体" w:hAnsi="宋体" w:eastAsia="宋体" w:cs="宋体"/>
                <w:color w:val="auto"/>
                <w:sz w:val="24"/>
                <w:highlight w:val="none"/>
              </w:rPr>
            </w:pPr>
          </w:p>
        </w:tc>
      </w:tr>
      <w:tr w14:paraId="2B61F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vMerge w:val="continue"/>
          </w:tcPr>
          <w:p w14:paraId="6780B953">
            <w:pPr>
              <w:rPr>
                <w:rFonts w:ascii="宋体" w:hAnsi="宋体" w:eastAsia="宋体" w:cs="宋体"/>
                <w:color w:val="auto"/>
                <w:sz w:val="24"/>
                <w:highlight w:val="none"/>
              </w:rPr>
            </w:pPr>
          </w:p>
        </w:tc>
        <w:tc>
          <w:tcPr>
            <w:tcW w:w="1635" w:type="dxa"/>
          </w:tcPr>
          <w:p w14:paraId="5396C032">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2023" w:type="dxa"/>
          </w:tcPr>
          <w:p w14:paraId="00CB6D90">
            <w:pPr>
              <w:rPr>
                <w:rFonts w:ascii="宋体" w:hAnsi="宋体" w:eastAsia="宋体" w:cs="宋体"/>
                <w:color w:val="auto"/>
                <w:sz w:val="24"/>
                <w:highlight w:val="none"/>
              </w:rPr>
            </w:pPr>
          </w:p>
        </w:tc>
        <w:tc>
          <w:tcPr>
            <w:tcW w:w="1427" w:type="dxa"/>
          </w:tcPr>
          <w:p w14:paraId="421652EF">
            <w:pPr>
              <w:rPr>
                <w:rFonts w:ascii="宋体" w:hAnsi="宋体" w:eastAsia="宋体" w:cs="宋体"/>
                <w:color w:val="auto"/>
                <w:sz w:val="24"/>
                <w:highlight w:val="none"/>
              </w:rPr>
            </w:pPr>
          </w:p>
        </w:tc>
        <w:tc>
          <w:tcPr>
            <w:tcW w:w="2525" w:type="dxa"/>
          </w:tcPr>
          <w:p w14:paraId="5DF05344">
            <w:pPr>
              <w:rPr>
                <w:rFonts w:ascii="宋体" w:hAnsi="宋体" w:eastAsia="宋体" w:cs="宋体"/>
                <w:color w:val="auto"/>
                <w:sz w:val="24"/>
                <w:highlight w:val="none"/>
              </w:rPr>
            </w:pPr>
          </w:p>
        </w:tc>
      </w:tr>
      <w:tr w14:paraId="4F381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25" w:type="dxa"/>
          </w:tcPr>
          <w:p w14:paraId="35C1B341">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35" w:type="dxa"/>
          </w:tcPr>
          <w:p w14:paraId="3AD8F70D">
            <w:pPr>
              <w:rPr>
                <w:rFonts w:ascii="宋体" w:hAnsi="宋体" w:eastAsia="宋体" w:cs="宋体"/>
                <w:color w:val="auto"/>
                <w:sz w:val="24"/>
                <w:highlight w:val="none"/>
              </w:rPr>
            </w:pPr>
          </w:p>
        </w:tc>
        <w:tc>
          <w:tcPr>
            <w:tcW w:w="2023" w:type="dxa"/>
          </w:tcPr>
          <w:p w14:paraId="11B30F07">
            <w:pPr>
              <w:rPr>
                <w:rFonts w:ascii="宋体" w:hAnsi="宋体" w:eastAsia="宋体" w:cs="宋体"/>
                <w:color w:val="auto"/>
                <w:sz w:val="24"/>
                <w:highlight w:val="none"/>
              </w:rPr>
            </w:pPr>
          </w:p>
        </w:tc>
        <w:tc>
          <w:tcPr>
            <w:tcW w:w="1427" w:type="dxa"/>
          </w:tcPr>
          <w:p w14:paraId="58634082">
            <w:pPr>
              <w:rPr>
                <w:rFonts w:ascii="宋体" w:hAnsi="宋体" w:eastAsia="宋体" w:cs="宋体"/>
                <w:color w:val="auto"/>
                <w:sz w:val="24"/>
                <w:highlight w:val="none"/>
              </w:rPr>
            </w:pPr>
          </w:p>
        </w:tc>
        <w:tc>
          <w:tcPr>
            <w:tcW w:w="2525" w:type="dxa"/>
          </w:tcPr>
          <w:p w14:paraId="411E6DF6">
            <w:pPr>
              <w:rPr>
                <w:rFonts w:ascii="宋体" w:hAnsi="宋体" w:eastAsia="宋体" w:cs="宋体"/>
                <w:color w:val="auto"/>
                <w:sz w:val="24"/>
                <w:highlight w:val="none"/>
              </w:rPr>
            </w:pPr>
          </w:p>
        </w:tc>
      </w:tr>
    </w:tbl>
    <w:p w14:paraId="451817B0">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22A17CEB">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1、本表应按照下列规定填写：</w:t>
      </w:r>
    </w:p>
    <w:p w14:paraId="4B3D839A">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1.1“技术和服务要求”项下填写的内容应与招标文件第五章“技术和服务要求”的内容保持一致。</w:t>
      </w:r>
    </w:p>
    <w:p w14:paraId="6E521442">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39E940C9">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1.3“是否偏离及说明”项下应按下列规定填写：优于的，填写“正偏离”；符合的，填写“无偏离”；低于的，填写“负偏离”。</w:t>
      </w:r>
    </w:p>
    <w:p w14:paraId="6A6C2F3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77D22D45">
      <w:pPr>
        <w:pStyle w:val="16"/>
        <w:ind w:firstLine="480"/>
        <w:jc w:val="right"/>
        <w:rPr>
          <w:rFonts w:ascii="宋体" w:hAnsi="宋体" w:eastAsia="宋体" w:cs="宋体"/>
          <w:color w:val="auto"/>
          <w:sz w:val="24"/>
          <w:szCs w:val="24"/>
          <w:highlight w:val="none"/>
        </w:rPr>
      </w:pPr>
    </w:p>
    <w:p w14:paraId="0E4F2798">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27B14B95">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34CA3D9A">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35F68DB3">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三、商务条件响应表</w:t>
      </w:r>
    </w:p>
    <w:p w14:paraId="1CBBADBB">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2046"/>
      </w:tblGrid>
      <w:tr w14:paraId="45239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86B1AFF">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661" w:type="dxa"/>
          </w:tcPr>
          <w:p w14:paraId="61868C9C">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1661" w:type="dxa"/>
          </w:tcPr>
          <w:p w14:paraId="1A945063">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商务条件</w:t>
            </w:r>
          </w:p>
        </w:tc>
        <w:tc>
          <w:tcPr>
            <w:tcW w:w="1661" w:type="dxa"/>
          </w:tcPr>
          <w:p w14:paraId="1498B1A7">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投标响应</w:t>
            </w:r>
          </w:p>
        </w:tc>
        <w:tc>
          <w:tcPr>
            <w:tcW w:w="2046" w:type="dxa"/>
          </w:tcPr>
          <w:p w14:paraId="0B2BC22A">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14:paraId="49F1B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B33EAF1">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61" w:type="dxa"/>
          </w:tcPr>
          <w:p w14:paraId="2FB8000A">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661" w:type="dxa"/>
          </w:tcPr>
          <w:p w14:paraId="757E4C80">
            <w:pPr>
              <w:rPr>
                <w:rFonts w:ascii="宋体" w:hAnsi="宋体" w:eastAsia="宋体" w:cs="宋体"/>
                <w:color w:val="auto"/>
                <w:sz w:val="24"/>
                <w:highlight w:val="none"/>
              </w:rPr>
            </w:pPr>
          </w:p>
        </w:tc>
        <w:tc>
          <w:tcPr>
            <w:tcW w:w="1661" w:type="dxa"/>
          </w:tcPr>
          <w:p w14:paraId="5A6B0AA0">
            <w:pPr>
              <w:rPr>
                <w:rFonts w:ascii="宋体" w:hAnsi="宋体" w:eastAsia="宋体" w:cs="宋体"/>
                <w:color w:val="auto"/>
                <w:sz w:val="24"/>
                <w:highlight w:val="none"/>
              </w:rPr>
            </w:pPr>
          </w:p>
        </w:tc>
        <w:tc>
          <w:tcPr>
            <w:tcW w:w="2046" w:type="dxa"/>
          </w:tcPr>
          <w:p w14:paraId="2BDC2379">
            <w:pPr>
              <w:rPr>
                <w:rFonts w:ascii="宋体" w:hAnsi="宋体" w:eastAsia="宋体" w:cs="宋体"/>
                <w:color w:val="auto"/>
                <w:sz w:val="24"/>
                <w:highlight w:val="none"/>
              </w:rPr>
            </w:pPr>
          </w:p>
        </w:tc>
      </w:tr>
      <w:tr w14:paraId="5CA42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927A9C2">
            <w:pPr>
              <w:rPr>
                <w:rFonts w:ascii="宋体" w:hAnsi="宋体" w:eastAsia="宋体" w:cs="宋体"/>
                <w:color w:val="auto"/>
                <w:sz w:val="24"/>
                <w:highlight w:val="none"/>
              </w:rPr>
            </w:pPr>
          </w:p>
        </w:tc>
        <w:tc>
          <w:tcPr>
            <w:tcW w:w="1661" w:type="dxa"/>
          </w:tcPr>
          <w:p w14:paraId="5FE0DFEA">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61" w:type="dxa"/>
          </w:tcPr>
          <w:p w14:paraId="3A587B9E">
            <w:pPr>
              <w:rPr>
                <w:rFonts w:ascii="宋体" w:hAnsi="宋体" w:eastAsia="宋体" w:cs="宋体"/>
                <w:color w:val="auto"/>
                <w:sz w:val="24"/>
                <w:highlight w:val="none"/>
              </w:rPr>
            </w:pPr>
          </w:p>
        </w:tc>
        <w:tc>
          <w:tcPr>
            <w:tcW w:w="1661" w:type="dxa"/>
          </w:tcPr>
          <w:p w14:paraId="3AE68FC2">
            <w:pPr>
              <w:rPr>
                <w:rFonts w:ascii="宋体" w:hAnsi="宋体" w:eastAsia="宋体" w:cs="宋体"/>
                <w:color w:val="auto"/>
                <w:sz w:val="24"/>
                <w:highlight w:val="none"/>
              </w:rPr>
            </w:pPr>
          </w:p>
        </w:tc>
        <w:tc>
          <w:tcPr>
            <w:tcW w:w="2046" w:type="dxa"/>
          </w:tcPr>
          <w:p w14:paraId="457541ED">
            <w:pPr>
              <w:rPr>
                <w:rFonts w:ascii="宋体" w:hAnsi="宋体" w:eastAsia="宋体" w:cs="宋体"/>
                <w:color w:val="auto"/>
                <w:sz w:val="24"/>
                <w:highlight w:val="none"/>
              </w:rPr>
            </w:pPr>
          </w:p>
        </w:tc>
      </w:tr>
      <w:tr w14:paraId="7BEB1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B211E51">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61" w:type="dxa"/>
          </w:tcPr>
          <w:p w14:paraId="23C6D449">
            <w:pPr>
              <w:rPr>
                <w:rFonts w:ascii="宋体" w:hAnsi="宋体" w:eastAsia="宋体" w:cs="宋体"/>
                <w:color w:val="auto"/>
                <w:sz w:val="24"/>
                <w:highlight w:val="none"/>
              </w:rPr>
            </w:pPr>
          </w:p>
        </w:tc>
        <w:tc>
          <w:tcPr>
            <w:tcW w:w="1661" w:type="dxa"/>
          </w:tcPr>
          <w:p w14:paraId="266CD4F1">
            <w:pPr>
              <w:rPr>
                <w:rFonts w:ascii="宋体" w:hAnsi="宋体" w:eastAsia="宋体" w:cs="宋体"/>
                <w:color w:val="auto"/>
                <w:sz w:val="24"/>
                <w:highlight w:val="none"/>
              </w:rPr>
            </w:pPr>
          </w:p>
        </w:tc>
        <w:tc>
          <w:tcPr>
            <w:tcW w:w="1661" w:type="dxa"/>
          </w:tcPr>
          <w:p w14:paraId="027477BC">
            <w:pPr>
              <w:rPr>
                <w:rFonts w:ascii="宋体" w:hAnsi="宋体" w:eastAsia="宋体" w:cs="宋体"/>
                <w:color w:val="auto"/>
                <w:sz w:val="24"/>
                <w:highlight w:val="none"/>
              </w:rPr>
            </w:pPr>
          </w:p>
        </w:tc>
        <w:tc>
          <w:tcPr>
            <w:tcW w:w="2046" w:type="dxa"/>
          </w:tcPr>
          <w:p w14:paraId="14F41FC8">
            <w:pPr>
              <w:rPr>
                <w:rFonts w:ascii="宋体" w:hAnsi="宋体" w:eastAsia="宋体" w:cs="宋体"/>
                <w:color w:val="auto"/>
                <w:sz w:val="24"/>
                <w:highlight w:val="none"/>
              </w:rPr>
            </w:pPr>
          </w:p>
        </w:tc>
      </w:tr>
    </w:tbl>
    <w:p w14:paraId="4624F8A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371E4AC9">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1、本表应按照下列规定填写：</w:t>
      </w:r>
    </w:p>
    <w:p w14:paraId="1BDB8346">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1.1“商务条件”项下填写的内容应与招标文件第五章“商务条件”的内容保持一致。</w:t>
      </w:r>
    </w:p>
    <w:p w14:paraId="6029F3A8">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1.2“投标响应”项下应填写具体的响应内容并与“商务条件”项下填写的内容逐项对应；对“商务条件”项下涉及“≥或＞”、“≤或＜”及某个区间值范围内的内容，应填写具体的数值。</w:t>
      </w:r>
    </w:p>
    <w:p w14:paraId="70D57C09">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1.3“是否偏离及说明”项下应按下列规定填写：优于的，填写“正偏离”；符合的，填写“无偏离”；低于的，填写“负偏离”。</w:t>
      </w:r>
    </w:p>
    <w:p w14:paraId="1326E053">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625A00AA">
      <w:pPr>
        <w:pStyle w:val="16"/>
        <w:ind w:firstLine="480"/>
        <w:jc w:val="right"/>
        <w:rPr>
          <w:rFonts w:ascii="宋体" w:hAnsi="宋体" w:eastAsia="宋体" w:cs="宋体"/>
          <w:color w:val="auto"/>
          <w:sz w:val="24"/>
          <w:szCs w:val="24"/>
          <w:highlight w:val="none"/>
        </w:rPr>
      </w:pPr>
    </w:p>
    <w:p w14:paraId="5A30A1FC">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投标人：</w:t>
      </w:r>
      <w:r>
        <w:rPr>
          <w:rFonts w:ascii="宋体" w:hAnsi="宋体" w:eastAsia="宋体" w:cs="宋体"/>
          <w:color w:val="auto"/>
          <w:sz w:val="24"/>
          <w:szCs w:val="24"/>
          <w:highlight w:val="none"/>
          <w:u w:val="single"/>
        </w:rPr>
        <w:t>（全称并加盖单位公章）</w:t>
      </w:r>
    </w:p>
    <w:p w14:paraId="12227369">
      <w:pPr>
        <w:pStyle w:val="16"/>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14:paraId="33B70DA8">
      <w:pPr>
        <w:pStyle w:val="16"/>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37B15F2B">
      <w:pPr>
        <w:pStyle w:val="16"/>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四、投标人提交的其他资料（若有）</w:t>
      </w:r>
    </w:p>
    <w:p w14:paraId="0696034F">
      <w:pPr>
        <w:pStyle w:val="16"/>
        <w:ind w:firstLine="480"/>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14:paraId="706D5E5C">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1、招标文件要求提交的除“资格及资信证明部分”、“报价部分”外的其他证明材料或资料加盖投标人的单位公章后应在此项下提交。</w:t>
      </w:r>
    </w:p>
    <w:p w14:paraId="5935984E">
      <w:pPr>
        <w:pStyle w:val="16"/>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2、招标文件要求投标人提供方案（包括但不限于：组织、实施、技术、服务方案等）的，投标人应在此项下提交。</w:t>
      </w:r>
    </w:p>
    <w:p w14:paraId="44E7A047">
      <w:pPr>
        <w:pStyle w:val="16"/>
        <w:ind w:firstLine="480"/>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3、除招标文件另有规定外，投标人认为需要提交的其他证明材料或资料加盖投标人的单位公章后应在此项下提交。</w:t>
      </w:r>
    </w:p>
    <w:sectPr>
      <w:pgSz w:w="11906" w:h="16838"/>
      <w:pgMar w:top="1440" w:right="1793" w:bottom="144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4AA2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706F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66C1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CE92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DCE92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CEA29">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E86C3">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4B7D9"/>
    <w:multiLevelType w:val="singleLevel"/>
    <w:tmpl w:val="2A94B7D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80869"/>
    <w:rsid w:val="00EA7DD5"/>
    <w:rsid w:val="01523861"/>
    <w:rsid w:val="02151127"/>
    <w:rsid w:val="02766EC4"/>
    <w:rsid w:val="035622E0"/>
    <w:rsid w:val="03C63CC9"/>
    <w:rsid w:val="04027E38"/>
    <w:rsid w:val="04B67D45"/>
    <w:rsid w:val="05120AC6"/>
    <w:rsid w:val="056761C0"/>
    <w:rsid w:val="05CC3BFF"/>
    <w:rsid w:val="061B73B4"/>
    <w:rsid w:val="064C0170"/>
    <w:rsid w:val="07783C2F"/>
    <w:rsid w:val="084651A6"/>
    <w:rsid w:val="09604DC0"/>
    <w:rsid w:val="096256A9"/>
    <w:rsid w:val="0AB679BF"/>
    <w:rsid w:val="0ADB2CF4"/>
    <w:rsid w:val="0B9110DF"/>
    <w:rsid w:val="0BA05040"/>
    <w:rsid w:val="0C9D075E"/>
    <w:rsid w:val="0D073416"/>
    <w:rsid w:val="0D9D4A28"/>
    <w:rsid w:val="0E2B76CE"/>
    <w:rsid w:val="0E5F7F3C"/>
    <w:rsid w:val="10050A92"/>
    <w:rsid w:val="10115F87"/>
    <w:rsid w:val="104D7B80"/>
    <w:rsid w:val="1162787D"/>
    <w:rsid w:val="11DD4313"/>
    <w:rsid w:val="123E3BF5"/>
    <w:rsid w:val="12714114"/>
    <w:rsid w:val="14263EE4"/>
    <w:rsid w:val="149D6D73"/>
    <w:rsid w:val="153C0850"/>
    <w:rsid w:val="17575DF8"/>
    <w:rsid w:val="17645CCA"/>
    <w:rsid w:val="17782758"/>
    <w:rsid w:val="17C73628"/>
    <w:rsid w:val="180E1A29"/>
    <w:rsid w:val="18295846"/>
    <w:rsid w:val="18477EEF"/>
    <w:rsid w:val="18A00F9D"/>
    <w:rsid w:val="18B54B84"/>
    <w:rsid w:val="199D4505"/>
    <w:rsid w:val="1B6D4A81"/>
    <w:rsid w:val="1C676D92"/>
    <w:rsid w:val="1CDC7288"/>
    <w:rsid w:val="1E7815F7"/>
    <w:rsid w:val="1EA917EC"/>
    <w:rsid w:val="1F0C40AD"/>
    <w:rsid w:val="1F260CA9"/>
    <w:rsid w:val="1F713F56"/>
    <w:rsid w:val="21220C91"/>
    <w:rsid w:val="21547B65"/>
    <w:rsid w:val="21894E00"/>
    <w:rsid w:val="21E37E5C"/>
    <w:rsid w:val="21F2110A"/>
    <w:rsid w:val="242D2309"/>
    <w:rsid w:val="24853BAA"/>
    <w:rsid w:val="24863878"/>
    <w:rsid w:val="24DB5972"/>
    <w:rsid w:val="264A1B93"/>
    <w:rsid w:val="26EE12D9"/>
    <w:rsid w:val="27C40B47"/>
    <w:rsid w:val="282778F3"/>
    <w:rsid w:val="292447EE"/>
    <w:rsid w:val="29D241CD"/>
    <w:rsid w:val="2AAC7337"/>
    <w:rsid w:val="2AC06748"/>
    <w:rsid w:val="2BA2543C"/>
    <w:rsid w:val="2BB9028F"/>
    <w:rsid w:val="2DAA6FC6"/>
    <w:rsid w:val="2E26623D"/>
    <w:rsid w:val="2ECB0F6A"/>
    <w:rsid w:val="2EE37784"/>
    <w:rsid w:val="2F9BB233"/>
    <w:rsid w:val="313F1A67"/>
    <w:rsid w:val="31577233"/>
    <w:rsid w:val="316C2F99"/>
    <w:rsid w:val="317A735C"/>
    <w:rsid w:val="31A43590"/>
    <w:rsid w:val="32826AB3"/>
    <w:rsid w:val="33137A38"/>
    <w:rsid w:val="33722E63"/>
    <w:rsid w:val="33877B47"/>
    <w:rsid w:val="33D576D7"/>
    <w:rsid w:val="34790E28"/>
    <w:rsid w:val="35B439A1"/>
    <w:rsid w:val="364634BD"/>
    <w:rsid w:val="36D51ADB"/>
    <w:rsid w:val="37A559ED"/>
    <w:rsid w:val="37E360D2"/>
    <w:rsid w:val="38627ACD"/>
    <w:rsid w:val="389C46FF"/>
    <w:rsid w:val="39B2642D"/>
    <w:rsid w:val="39F817D8"/>
    <w:rsid w:val="3A2C2015"/>
    <w:rsid w:val="3AC61A21"/>
    <w:rsid w:val="3B9A4BC8"/>
    <w:rsid w:val="3BB76081"/>
    <w:rsid w:val="3BD67F84"/>
    <w:rsid w:val="3C8E376D"/>
    <w:rsid w:val="3DD83768"/>
    <w:rsid w:val="3E1E2F9A"/>
    <w:rsid w:val="3E444F45"/>
    <w:rsid w:val="3E6C6EAB"/>
    <w:rsid w:val="3EF84C71"/>
    <w:rsid w:val="3F3318A0"/>
    <w:rsid w:val="403F2F52"/>
    <w:rsid w:val="40AA470C"/>
    <w:rsid w:val="40BA7C2E"/>
    <w:rsid w:val="41510578"/>
    <w:rsid w:val="42672229"/>
    <w:rsid w:val="439F12D4"/>
    <w:rsid w:val="449C3299"/>
    <w:rsid w:val="451B1BC4"/>
    <w:rsid w:val="45304A95"/>
    <w:rsid w:val="45355860"/>
    <w:rsid w:val="45B82801"/>
    <w:rsid w:val="462A2ABA"/>
    <w:rsid w:val="464F2127"/>
    <w:rsid w:val="465670F7"/>
    <w:rsid w:val="465C046E"/>
    <w:rsid w:val="46AD21AF"/>
    <w:rsid w:val="47752327"/>
    <w:rsid w:val="47A4251B"/>
    <w:rsid w:val="4B7C661E"/>
    <w:rsid w:val="4B8D6B91"/>
    <w:rsid w:val="4B9D6C49"/>
    <w:rsid w:val="4BED4A1C"/>
    <w:rsid w:val="4C435D95"/>
    <w:rsid w:val="4CF93EBF"/>
    <w:rsid w:val="4D2569D1"/>
    <w:rsid w:val="4D5B5699"/>
    <w:rsid w:val="4EA80247"/>
    <w:rsid w:val="4EEA5279"/>
    <w:rsid w:val="4F471147"/>
    <w:rsid w:val="4F653140"/>
    <w:rsid w:val="4F7F2F83"/>
    <w:rsid w:val="501C12C2"/>
    <w:rsid w:val="508E3401"/>
    <w:rsid w:val="51C84C9C"/>
    <w:rsid w:val="51D125E0"/>
    <w:rsid w:val="51DC368C"/>
    <w:rsid w:val="520930C0"/>
    <w:rsid w:val="52131B7D"/>
    <w:rsid w:val="524C347B"/>
    <w:rsid w:val="53B405DC"/>
    <w:rsid w:val="545259DE"/>
    <w:rsid w:val="54857525"/>
    <w:rsid w:val="56A451EE"/>
    <w:rsid w:val="571056AE"/>
    <w:rsid w:val="583F058A"/>
    <w:rsid w:val="584741C6"/>
    <w:rsid w:val="585A16E6"/>
    <w:rsid w:val="587C6014"/>
    <w:rsid w:val="58D74BDC"/>
    <w:rsid w:val="5A9467BF"/>
    <w:rsid w:val="5AB23621"/>
    <w:rsid w:val="5ACC5F23"/>
    <w:rsid w:val="5B47169E"/>
    <w:rsid w:val="5B7E5380"/>
    <w:rsid w:val="5B972563"/>
    <w:rsid w:val="5BA965A7"/>
    <w:rsid w:val="5C165E03"/>
    <w:rsid w:val="5C3D4600"/>
    <w:rsid w:val="5C5E6FFE"/>
    <w:rsid w:val="5C647EC0"/>
    <w:rsid w:val="5D062C3F"/>
    <w:rsid w:val="5D865850"/>
    <w:rsid w:val="5E0146DC"/>
    <w:rsid w:val="61296823"/>
    <w:rsid w:val="61CE7A63"/>
    <w:rsid w:val="62935F75"/>
    <w:rsid w:val="6369587C"/>
    <w:rsid w:val="63A24EAE"/>
    <w:rsid w:val="647F2859"/>
    <w:rsid w:val="64800D38"/>
    <w:rsid w:val="65A21A16"/>
    <w:rsid w:val="65F37F21"/>
    <w:rsid w:val="6670375F"/>
    <w:rsid w:val="66934E3B"/>
    <w:rsid w:val="66A76FE0"/>
    <w:rsid w:val="66DC7293"/>
    <w:rsid w:val="67264120"/>
    <w:rsid w:val="67B73F40"/>
    <w:rsid w:val="67EF1DC6"/>
    <w:rsid w:val="67FB0449"/>
    <w:rsid w:val="686676F6"/>
    <w:rsid w:val="68C16F60"/>
    <w:rsid w:val="692A6268"/>
    <w:rsid w:val="69C56F24"/>
    <w:rsid w:val="6AEE1333"/>
    <w:rsid w:val="6B2F420C"/>
    <w:rsid w:val="6B384722"/>
    <w:rsid w:val="6C3D48EB"/>
    <w:rsid w:val="6C73229B"/>
    <w:rsid w:val="6C9F43A9"/>
    <w:rsid w:val="6CA53F29"/>
    <w:rsid w:val="6DDE3126"/>
    <w:rsid w:val="6E417D10"/>
    <w:rsid w:val="6EB74327"/>
    <w:rsid w:val="6ED224BE"/>
    <w:rsid w:val="6FA655A6"/>
    <w:rsid w:val="70E01613"/>
    <w:rsid w:val="711D280A"/>
    <w:rsid w:val="712A0D01"/>
    <w:rsid w:val="7308321E"/>
    <w:rsid w:val="73802A52"/>
    <w:rsid w:val="73FB4B26"/>
    <w:rsid w:val="744411BA"/>
    <w:rsid w:val="7490410B"/>
    <w:rsid w:val="749E4C10"/>
    <w:rsid w:val="751F612D"/>
    <w:rsid w:val="75282005"/>
    <w:rsid w:val="76342701"/>
    <w:rsid w:val="770F3233"/>
    <w:rsid w:val="779622EB"/>
    <w:rsid w:val="77F61E0D"/>
    <w:rsid w:val="7864274C"/>
    <w:rsid w:val="788D26EB"/>
    <w:rsid w:val="78BC7A81"/>
    <w:rsid w:val="78D46652"/>
    <w:rsid w:val="78D5392F"/>
    <w:rsid w:val="78F43F68"/>
    <w:rsid w:val="792B5EC7"/>
    <w:rsid w:val="798F1CDA"/>
    <w:rsid w:val="79DD5041"/>
    <w:rsid w:val="79F63C5C"/>
    <w:rsid w:val="7A565265"/>
    <w:rsid w:val="7B267BF5"/>
    <w:rsid w:val="7B9118CD"/>
    <w:rsid w:val="7BBE05AF"/>
    <w:rsid w:val="7C415967"/>
    <w:rsid w:val="7C5907CB"/>
    <w:rsid w:val="7D020E63"/>
    <w:rsid w:val="7D7706C5"/>
    <w:rsid w:val="7E7B3472"/>
    <w:rsid w:val="7EE30820"/>
    <w:rsid w:val="7F2D7FC0"/>
    <w:rsid w:val="7F707BC5"/>
    <w:rsid w:val="9FF38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1"/>
    <w:rPr>
      <w:rFonts w:ascii="Calibri" w:hAnsi="Calibri" w:eastAsia="宋体" w:cs="Times New Roman"/>
      <w:b/>
      <w:szCs w:val="24"/>
    </w:rPr>
  </w:style>
  <w:style w:type="paragraph" w:styleId="6">
    <w:name w:val="Body Text Indent"/>
    <w:basedOn w:val="1"/>
    <w:qFormat/>
    <w:uiPriority w:val="0"/>
    <w:pPr>
      <w:ind w:firstLine="570"/>
    </w:pPr>
    <w:rPr>
      <w:rFonts w:ascii="宋体" w:hAnsi="宋体"/>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semiHidden/>
    <w:unhideWhenUsed/>
    <w:qFormat/>
    <w:uiPriority w:val="99"/>
    <w:pPr>
      <w:spacing w:beforeAutospacing="1" w:afterAutospacing="1"/>
      <w:jc w:val="left"/>
    </w:pPr>
    <w:rPr>
      <w:rFonts w:cs="Times New Roman"/>
      <w:kern w:val="0"/>
      <w:sz w:val="24"/>
    </w:rPr>
  </w:style>
  <w:style w:type="paragraph" w:styleId="10">
    <w:name w:val="Body Text First Indent 2"/>
    <w:basedOn w:val="6"/>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paragraph" w:customStyle="1" w:styleId="16">
    <w:name w:val="null3"/>
    <w:hidden/>
    <w:qFormat/>
    <w:uiPriority w:val="0"/>
    <w:rPr>
      <w:rFonts w:hint="eastAsia" w:asciiTheme="minorHAnsi" w:hAnsiTheme="minorHAnsi" w:eastAsiaTheme="minorEastAsia" w:cstheme="minorBidi"/>
      <w:lang w:val="en-US" w:eastAsia="zh-Hans" w:bidi="ar-SA"/>
    </w:rPr>
  </w:style>
  <w:style w:type="character" w:customStyle="1" w:styleId="17">
    <w:name w:val="font11"/>
    <w:basedOn w:val="13"/>
    <w:qFormat/>
    <w:uiPriority w:val="0"/>
    <w:rPr>
      <w:rFonts w:hint="eastAsia" w:ascii="宋体" w:hAnsi="宋体" w:eastAsia="宋体" w:cs="宋体"/>
      <w:color w:val="000000"/>
      <w:sz w:val="20"/>
      <w:szCs w:val="20"/>
      <w:u w:val="none"/>
    </w:rPr>
  </w:style>
  <w:style w:type="paragraph" w:customStyle="1" w:styleId="18">
    <w:name w:val="Table Text"/>
    <w:basedOn w:val="1"/>
    <w:semiHidden/>
    <w:qFormat/>
    <w:uiPriority w:val="0"/>
    <w:rPr>
      <w:rFonts w:ascii="宋体" w:hAnsi="宋体" w:eastAsia="宋体" w:cs="宋体"/>
      <w:sz w:val="25"/>
      <w:szCs w:val="25"/>
      <w:lang w:val="en-US" w:eastAsia="en-US" w:bidi="ar-SA"/>
    </w:rPr>
  </w:style>
  <w:style w:type="table" w:customStyle="1" w:styleId="1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1946</Words>
  <Characters>2216</Characters>
  <Lines>0</Lines>
  <Paragraphs>0</Paragraphs>
  <TotalTime>32</TotalTime>
  <ScaleCrop>false</ScaleCrop>
  <LinksUpToDate>false</LinksUpToDate>
  <CharactersWithSpaces>2259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2026-04-15T23:16:00Z</dcterms:created>
  <dc:creator>Administrator</dc:creator>
  <cp:lastModifiedBy>晴天</cp:lastModifiedBy>
  <dcterms:modified xsi:type="dcterms:W3CDTF">2026-09-15T02:53:13Z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eyJoZGlkIjoiYzUxNmFkMGY4OGUxOTk3ZjE5ZjhlYWE2ODkyYWE4Y2MiLCJ1c2VySWQiOiIzMzkzMzUyODAifQ==</vt:lpwstr>
  </property>
  <property fmtid="{D5CDD505-2E9C-101B-9397-08002B2CF9AE}" pid="4" name="ICV">
    <vt:lpwstr>8EEABE2F8F234BBBB07DD132E505745A_13</vt:lpwstr>
  </property>
</Properties>
</file>